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6026" w:tblpY="6281"/>
        <w:tblW w:w="4612" w:type="dxa"/>
        <w:tblCellMar>
          <w:left w:w="0" w:type="dxa"/>
          <w:right w:w="0" w:type="dxa"/>
        </w:tblCellMar>
        <w:tblLook w:val="04A0"/>
      </w:tblPr>
      <w:tblGrid>
        <w:gridCol w:w="4612"/>
      </w:tblGrid>
      <w:tr w:rsidR="009F4842" w:rsidRPr="006C51B4" w:rsidTr="00E70914">
        <w:trPr>
          <w:trHeight w:val="345"/>
        </w:trPr>
        <w:tc>
          <w:tcPr>
            <w:tcW w:w="4612" w:type="dxa"/>
            <w:shd w:val="clear" w:color="auto" w:fill="1C880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4842" w:rsidRDefault="009F4842" w:rsidP="00E70914">
            <w:pPr>
              <w:pStyle w:val="Corpodetexto"/>
              <w:widowControl w:val="0"/>
              <w:jc w:val="both"/>
              <w:rPr>
                <w:rFonts w:ascii="Arial Narrow" w:hAnsi="Arial Narrow"/>
                <w:i/>
                <w:iCs/>
                <w:color w:val="FFFFFF"/>
              </w:rPr>
            </w:pPr>
            <w:r>
              <w:rPr>
                <w:rFonts w:ascii="Arial Narrow" w:hAnsi="Arial Narrow"/>
                <w:i/>
                <w:iCs/>
                <w:color w:val="FFFFFF"/>
              </w:rPr>
              <w:t>Em Portugal: Eco-Escolas em números (2012)</w:t>
            </w:r>
          </w:p>
        </w:tc>
      </w:tr>
      <w:tr w:rsidR="009F4842" w:rsidRPr="006C51B4" w:rsidTr="00E70914">
        <w:trPr>
          <w:trHeight w:val="343"/>
        </w:trPr>
        <w:tc>
          <w:tcPr>
            <w:tcW w:w="4612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4842" w:rsidRDefault="009F4842" w:rsidP="00E70914">
            <w:pPr>
              <w:pStyle w:val="Corpodetexto"/>
              <w:widowControl w:val="0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Envolvidos</w:t>
            </w:r>
            <w:proofErr w:type="gramStart"/>
            <w:r>
              <w:rPr>
                <w:rFonts w:ascii="Arial Narrow" w:hAnsi="Arial Narrow"/>
                <w:i/>
                <w:iCs/>
                <w:sz w:val="18"/>
                <w:szCs w:val="18"/>
              </w:rPr>
              <w:t>:  cerca</w:t>
            </w:r>
            <w:proofErr w:type="gramEnd"/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de 800.000 alunos e 5500 professores</w:t>
            </w:r>
          </w:p>
        </w:tc>
      </w:tr>
      <w:tr w:rsidR="009F4842" w:rsidRPr="006C51B4" w:rsidTr="00E70914">
        <w:trPr>
          <w:trHeight w:val="580"/>
        </w:trPr>
        <w:tc>
          <w:tcPr>
            <w:tcW w:w="4612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4842" w:rsidRDefault="009F4842" w:rsidP="00E70914">
            <w:pPr>
              <w:pStyle w:val="Corpodetexto"/>
              <w:widowControl w:val="0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N.º de </w:t>
            </w:r>
            <w:proofErr w:type="gramStart"/>
            <w:r>
              <w:rPr>
                <w:rFonts w:ascii="Arial Narrow" w:hAnsi="Arial Narrow"/>
                <w:i/>
                <w:iCs/>
                <w:sz w:val="18"/>
                <w:szCs w:val="18"/>
              </w:rPr>
              <w:t>escolas  inscritas</w:t>
            </w:r>
            <w:proofErr w:type="gramEnd"/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: </w:t>
            </w:r>
            <w:proofErr w:type="gramStart"/>
            <w:r>
              <w:rPr>
                <w:rFonts w:ascii="Arial Narrow" w:hAnsi="Arial Narrow"/>
                <w:i/>
                <w:iCs/>
                <w:sz w:val="18"/>
                <w:szCs w:val="18"/>
              </w:rPr>
              <w:t>1443 ;</w:t>
            </w:r>
            <w:proofErr w:type="gramEnd"/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renovaram a inscrição: 85%</w:t>
            </w:r>
          </w:p>
          <w:p w:rsidR="009F4842" w:rsidRDefault="009F4842" w:rsidP="00E70914">
            <w:pPr>
              <w:pStyle w:val="Corpodetexto"/>
              <w:widowControl w:val="0"/>
              <w:jc w:val="both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>Nº de escolas galardoadas: 1229 (85% das escolas inscritas).</w:t>
            </w:r>
          </w:p>
        </w:tc>
      </w:tr>
      <w:tr w:rsidR="009F4842" w:rsidRPr="006C51B4" w:rsidTr="00E70914">
        <w:trPr>
          <w:trHeight w:val="580"/>
        </w:trPr>
        <w:tc>
          <w:tcPr>
            <w:tcW w:w="4612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F4842" w:rsidRDefault="009F4842" w:rsidP="00E70914">
            <w:pPr>
              <w:pStyle w:val="Corpodetexto"/>
              <w:widowControl w:val="0"/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</w:rPr>
            </w:pP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N.º de </w:t>
            </w:r>
            <w:proofErr w:type="gramStart"/>
            <w:r>
              <w:rPr>
                <w:rFonts w:ascii="Arial Narrow" w:hAnsi="Arial Narrow"/>
                <w:i/>
                <w:iCs/>
                <w:sz w:val="18"/>
                <w:szCs w:val="18"/>
              </w:rPr>
              <w:t>municípios  com</w:t>
            </w:r>
            <w:proofErr w:type="gramEnd"/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 escolas: </w:t>
            </w: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</w:rPr>
              <w:t xml:space="preserve">inscritas:232; galardoadas:221. </w:t>
            </w:r>
            <w:r>
              <w:rPr>
                <w:rFonts w:ascii="Arial Narrow" w:hAnsi="Arial Narrow"/>
                <w:i/>
                <w:iCs/>
                <w:sz w:val="18"/>
                <w:szCs w:val="18"/>
              </w:rPr>
              <w:t xml:space="preserve">N.º de municípios parceiros no Programa Eco-Escolas </w:t>
            </w:r>
            <w:r>
              <w:rPr>
                <w:rFonts w:ascii="Arial Narrow" w:hAnsi="Arial Narrow"/>
                <w:b w:val="0"/>
                <w:bCs w:val="0"/>
                <w:i/>
                <w:iCs/>
                <w:sz w:val="18"/>
                <w:szCs w:val="18"/>
              </w:rPr>
              <w:t>138.</w:t>
            </w:r>
          </w:p>
        </w:tc>
      </w:tr>
      <w:tr w:rsidR="009F4842" w:rsidRPr="006C51B4" w:rsidTr="00E70914">
        <w:trPr>
          <w:trHeight w:val="1960"/>
        </w:trPr>
        <w:tc>
          <w:tcPr>
            <w:tcW w:w="4612" w:type="dxa"/>
            <w:shd w:val="clear" w:color="auto" w:fill="CCFFCC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tbl>
            <w:tblPr>
              <w:tblpPr w:leftFromText="141" w:rightFromText="141" w:vertAnchor="text" w:horzAnchor="margin" w:tblpY="2137"/>
              <w:tblOverlap w:val="never"/>
              <w:tblW w:w="4496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496"/>
            </w:tblGrid>
            <w:tr w:rsidR="009F4842" w:rsidRPr="006C51B4" w:rsidTr="00AC59C9">
              <w:trPr>
                <w:trHeight w:val="340"/>
              </w:trPr>
              <w:tc>
                <w:tcPr>
                  <w:tcW w:w="4496" w:type="dxa"/>
                  <w:shd w:val="clear" w:color="auto" w:fill="1C880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9F4842" w:rsidRDefault="009F4842" w:rsidP="00E70914">
                  <w:pPr>
                    <w:pStyle w:val="Corpodetexto"/>
                    <w:widowControl w:val="0"/>
                    <w:jc w:val="both"/>
                    <w:rPr>
                      <w:rFonts w:ascii="Arial Narrow" w:hAnsi="Arial Narrow"/>
                      <w:i/>
                      <w:iCs/>
                      <w:color w:val="FFFFFF"/>
                    </w:rPr>
                  </w:pPr>
                  <w:r>
                    <w:rPr>
                      <w:rFonts w:ascii="Arial Narrow" w:hAnsi="Arial Narrow"/>
                      <w:i/>
                      <w:iCs/>
                      <w:color w:val="FFFFFF"/>
                    </w:rPr>
                    <w:t xml:space="preserve">No Mundo: Eco-Escolas em números </w:t>
                  </w:r>
                  <w:r>
                    <w:rPr>
                      <w:rFonts w:ascii="Arial Narrow" w:hAnsi="Arial Narrow"/>
                      <w:color w:val="FFFFFF"/>
                      <w:sz w:val="22"/>
                      <w:szCs w:val="22"/>
                    </w:rPr>
                    <w:t xml:space="preserve">* </w:t>
                  </w:r>
                  <w:r>
                    <w:rPr>
                      <w:rFonts w:ascii="Arial Narrow" w:hAnsi="Arial Narrow"/>
                      <w:i/>
                      <w:iCs/>
                      <w:color w:val="FFFFFF"/>
                    </w:rPr>
                    <w:t>(2012)</w:t>
                  </w:r>
                </w:p>
              </w:tc>
            </w:tr>
            <w:tr w:rsidR="009F4842" w:rsidRPr="006C51B4" w:rsidTr="00AC59C9">
              <w:trPr>
                <w:trHeight w:val="1073"/>
              </w:trPr>
              <w:tc>
                <w:tcPr>
                  <w:tcW w:w="4496" w:type="dxa"/>
                  <w:shd w:val="clear" w:color="auto" w:fill="CCFFCC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hideMark/>
                </w:tcPr>
                <w:p w:rsidR="009F4842" w:rsidRDefault="009F4842" w:rsidP="00E70914">
                  <w:pPr>
                    <w:pStyle w:val="Corpodetexto"/>
                    <w:widowControl w:val="0"/>
                    <w:jc w:val="both"/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  <w:t>11.000.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  <w:t>000  estudantes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  <w:t xml:space="preserve"> e 900.000 professores .</w:t>
                  </w:r>
                </w:p>
                <w:p w:rsidR="009F4842" w:rsidRDefault="009F4842" w:rsidP="00E70914">
                  <w:pPr>
                    <w:pStyle w:val="Corpodetexto"/>
                    <w:widowControl w:val="0"/>
                    <w:jc w:val="both"/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  <w:t xml:space="preserve">40.000 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  <w:t>escolas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  <w:t xml:space="preserve"> participantes (10.000 galardoadas). </w:t>
                  </w:r>
                </w:p>
                <w:p w:rsidR="009F4842" w:rsidRDefault="009F4842" w:rsidP="00E70914">
                  <w:pPr>
                    <w:pStyle w:val="Corpodetexto"/>
                    <w:widowControl w:val="0"/>
                    <w:jc w:val="both"/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  <w:t xml:space="preserve">5.013 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  <w:t>municípios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  <w:t xml:space="preserve"> em 52 países e em todos os continentes.</w:t>
                  </w:r>
                </w:p>
                <w:p w:rsidR="009F4842" w:rsidRDefault="009F4842" w:rsidP="00E70914">
                  <w:pPr>
                    <w:pStyle w:val="Corpodetexto"/>
                    <w:widowControl w:val="0"/>
                    <w:jc w:val="right"/>
                    <w:rPr>
                      <w:rFonts w:ascii="Arial Narrow" w:hAnsi="Arial Narrow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* </w:t>
                  </w:r>
                  <w:proofErr w:type="gramStart"/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>números</w:t>
                  </w:r>
                  <w:proofErr w:type="gramEnd"/>
                  <w:r>
                    <w:rPr>
                      <w:rFonts w:ascii="Arial Narrow" w:hAnsi="Arial Narrow"/>
                      <w:i/>
                      <w:iCs/>
                      <w:sz w:val="16"/>
                      <w:szCs w:val="16"/>
                    </w:rPr>
                    <w:t xml:space="preserve"> aproximados</w:t>
                  </w:r>
                </w:p>
              </w:tc>
            </w:tr>
          </w:tbl>
          <w:p w:rsidR="009F4842" w:rsidRPr="006C51B4" w:rsidRDefault="009F4842" w:rsidP="00E70914">
            <w:pPr>
              <w:widowControl w:val="0"/>
              <w:spacing w:after="280" w:line="273" w:lineRule="auto"/>
              <w:rPr>
                <w:rFonts w:ascii="Arial Narrow" w:hAnsi="Arial Narrow"/>
                <w:color w:val="000000"/>
                <w:kern w:val="28"/>
                <w:sz w:val="17"/>
                <w:szCs w:val="17"/>
                <w:lang w:val="pt-PT"/>
              </w:rPr>
            </w:pPr>
            <w:r w:rsidRPr="006C51B4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 xml:space="preserve">Municípios com mais escolas galardoadas: </w:t>
            </w:r>
            <w:proofErr w:type="gramStart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Sintra(82</w:t>
            </w:r>
            <w:proofErr w:type="gramEnd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); Vila Nova de Gaia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 xml:space="preserve"> </w:t>
            </w:r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 xml:space="preserve">(35); </w:t>
            </w:r>
            <w:proofErr w:type="gramStart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Matosinhos(30</w:t>
            </w:r>
            <w:proofErr w:type="gramEnd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 xml:space="preserve">); </w:t>
            </w:r>
            <w:proofErr w:type="gramStart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Pombal(29</w:t>
            </w:r>
            <w:proofErr w:type="gramEnd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 xml:space="preserve">); Câmara de </w:t>
            </w:r>
            <w:proofErr w:type="gramStart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Lobos(27</w:t>
            </w:r>
            <w:proofErr w:type="gramEnd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 xml:space="preserve">); </w:t>
            </w:r>
            <w:proofErr w:type="gramStart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Funchal(27</w:t>
            </w:r>
            <w:proofErr w:type="gramEnd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)</w:t>
            </w:r>
            <w:proofErr w:type="gramStart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;Ílhavo(26</w:t>
            </w:r>
            <w:proofErr w:type="gramEnd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 xml:space="preserve">); </w:t>
            </w:r>
            <w:proofErr w:type="gramStart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Gondomar(24</w:t>
            </w:r>
            <w:proofErr w:type="gramEnd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 xml:space="preserve">); Marco de </w:t>
            </w:r>
            <w:proofErr w:type="gramStart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Canaveses(22</w:t>
            </w:r>
            <w:proofErr w:type="gramEnd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 xml:space="preserve">); Figueira da </w:t>
            </w:r>
            <w:proofErr w:type="gramStart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Foz(20</w:t>
            </w:r>
            <w:proofErr w:type="gramEnd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);</w:t>
            </w:r>
            <w:r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 xml:space="preserve"> </w:t>
            </w:r>
            <w:proofErr w:type="gramStart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Lisboa(20</w:t>
            </w:r>
            <w:proofErr w:type="gramEnd"/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t>).</w:t>
            </w:r>
            <w:r w:rsidRPr="006C51B4">
              <w:rPr>
                <w:rFonts w:ascii="Arial Narrow" w:hAnsi="Arial Narrow"/>
                <w:i/>
                <w:iCs/>
                <w:sz w:val="18"/>
                <w:szCs w:val="18"/>
                <w:lang w:val="pt-PT"/>
              </w:rPr>
              <w:br/>
            </w:r>
            <w:r w:rsidRPr="006C51B4"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pt-PT"/>
              </w:rPr>
              <w:t xml:space="preserve">Municípios com mais de 90% das suas escolas no Programa Eco-Escolas: </w:t>
            </w:r>
            <w:r w:rsidRPr="006C51B4">
              <w:rPr>
                <w:rFonts w:ascii="Arial Narrow" w:hAnsi="Arial Narrow"/>
                <w:i/>
                <w:iCs/>
                <w:sz w:val="17"/>
                <w:szCs w:val="17"/>
                <w:lang w:val="pt-PT"/>
              </w:rPr>
              <w:t xml:space="preserve">Calheta (Madeira); Ribeira Brava; Caminha; Macedo de Cavaleiros; Portel; Ponta </w:t>
            </w:r>
            <w:r>
              <w:rPr>
                <w:rFonts w:ascii="Arial Narrow" w:hAnsi="Arial Narrow"/>
                <w:i/>
                <w:iCs/>
                <w:sz w:val="17"/>
                <w:szCs w:val="17"/>
                <w:lang w:val="pt-PT"/>
              </w:rPr>
              <w:t>d</w:t>
            </w:r>
            <w:r w:rsidRPr="006C51B4">
              <w:rPr>
                <w:rFonts w:ascii="Arial Narrow" w:hAnsi="Arial Narrow"/>
                <w:i/>
                <w:iCs/>
                <w:sz w:val="17"/>
                <w:szCs w:val="17"/>
                <w:lang w:val="pt-PT"/>
              </w:rPr>
              <w:t xml:space="preserve">o Sol; Porto Moniz; Câmara </w:t>
            </w:r>
            <w:r>
              <w:rPr>
                <w:rFonts w:ascii="Arial Narrow" w:hAnsi="Arial Narrow"/>
                <w:i/>
                <w:iCs/>
                <w:sz w:val="17"/>
                <w:szCs w:val="17"/>
                <w:lang w:val="pt-PT"/>
              </w:rPr>
              <w:t>d</w:t>
            </w:r>
            <w:r w:rsidRPr="006C51B4">
              <w:rPr>
                <w:rFonts w:ascii="Arial Narrow" w:hAnsi="Arial Narrow"/>
                <w:i/>
                <w:iCs/>
                <w:sz w:val="17"/>
                <w:szCs w:val="17"/>
                <w:lang w:val="pt-PT"/>
              </w:rPr>
              <w:t xml:space="preserve">e Lobos; </w:t>
            </w:r>
            <w:proofErr w:type="gramStart"/>
            <w:r w:rsidRPr="006C51B4">
              <w:rPr>
                <w:rFonts w:ascii="Arial Narrow" w:hAnsi="Arial Narrow"/>
                <w:i/>
                <w:iCs/>
                <w:sz w:val="17"/>
                <w:szCs w:val="17"/>
                <w:lang w:val="pt-PT"/>
              </w:rPr>
              <w:t>Porto  Santo</w:t>
            </w:r>
            <w:proofErr w:type="gramEnd"/>
            <w:r w:rsidRPr="006C51B4">
              <w:rPr>
                <w:rFonts w:ascii="Arial Narrow" w:hAnsi="Arial Narrow"/>
                <w:i/>
                <w:iCs/>
                <w:sz w:val="17"/>
                <w:szCs w:val="17"/>
                <w:lang w:val="pt-PT"/>
              </w:rPr>
              <w:t>; Manteigas.</w:t>
            </w:r>
          </w:p>
        </w:tc>
      </w:tr>
    </w:tbl>
    <w:p w:rsidR="00E70914" w:rsidRDefault="001F2E31" w:rsidP="006C51B4">
      <w:pPr>
        <w:spacing w:after="0"/>
        <w:rPr>
          <w:b/>
          <w:sz w:val="28"/>
          <w:szCs w:val="28"/>
          <w:lang w:val="pt-PT"/>
        </w:rPr>
      </w:pPr>
      <w:r>
        <w:rPr>
          <w:b/>
          <w:noProof/>
          <w:sz w:val="28"/>
          <w:szCs w:val="28"/>
          <w:lang w:val="pt-PT" w:eastAsia="pt-PT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-553085</wp:posOffset>
            </wp:positionV>
            <wp:extent cx="834390" cy="1092200"/>
            <wp:effectExtent l="19050" t="0" r="3810" b="0"/>
            <wp:wrapTight wrapText="bothSides">
              <wp:wrapPolygon edited="0">
                <wp:start x="-493" y="0"/>
                <wp:lineTo x="-493" y="21098"/>
                <wp:lineTo x="21699" y="21098"/>
                <wp:lineTo x="21699" y="0"/>
                <wp:lineTo x="-493" y="0"/>
              </wp:wrapPolygon>
            </wp:wrapTight>
            <wp:docPr id="4" name="Imagem 1" descr="C:\Users\Utilizador\1. ABAE\0.LOGOS\logos_programas\icomEE_ABAE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ilizador\1. ABAE\0.LOGOS\logos_programas\icomEE_ABAE_m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A35" w:rsidRPr="00E70914">
        <w:rPr>
          <w:b/>
          <w:sz w:val="28"/>
          <w:szCs w:val="28"/>
          <w:lang w:val="pt-PT"/>
        </w:rPr>
        <w:t>Mais Informação sobre o Programa Eco-Escolas</w:t>
      </w:r>
    </w:p>
    <w:p w:rsidR="006C51B4" w:rsidRPr="009F4842" w:rsidRDefault="006C51B4" w:rsidP="006C51B4">
      <w:pPr>
        <w:spacing w:after="0"/>
        <w:rPr>
          <w:rFonts w:ascii="Times New Roman" w:hAnsi="Times New Roman"/>
          <w:b/>
          <w:sz w:val="24"/>
          <w:szCs w:val="24"/>
          <w:lang w:val="pt-PT"/>
        </w:rPr>
      </w:pPr>
      <w:r w:rsidRPr="009F4842">
        <w:rPr>
          <w:rFonts w:ascii="Times New Roman" w:hAnsi="Times New Roman"/>
          <w:b/>
          <w:sz w:val="24"/>
          <w:szCs w:val="24"/>
          <w:lang w:val="pt-PT"/>
        </w:rPr>
        <w:t xml:space="preserve"> </w:t>
      </w:r>
      <w:r w:rsidRPr="009F4842">
        <w:rPr>
          <w:rFonts w:ascii="Times New Roman" w:hAnsi="Times New Roman"/>
          <w:b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7" type="#_x0000_t201" style="position:absolute;margin-left:334.5pt;margin-top:532.9pt;width:224.8pt;height:190.4pt;z-index:251662336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E70914" w:rsidRPr="00DD3AE8" w:rsidRDefault="00E70914" w:rsidP="00E70914">
      <w:pPr>
        <w:pStyle w:val="SemEspaamento"/>
        <w:rPr>
          <w:b/>
          <w:color w:val="231F20"/>
        </w:rPr>
      </w:pPr>
      <w:r w:rsidRPr="00DD3AE8">
        <w:rPr>
          <w:b/>
          <w:color w:val="231F20"/>
        </w:rPr>
        <w:t xml:space="preserve">O QUE </w:t>
      </w:r>
      <w:proofErr w:type="gramStart"/>
      <w:r w:rsidRPr="00DD3AE8">
        <w:rPr>
          <w:b/>
          <w:color w:val="231F20"/>
        </w:rPr>
        <w:t>SIGNIFICAM  AS</w:t>
      </w:r>
      <w:proofErr w:type="gramEnd"/>
      <w:r w:rsidRPr="00DD3AE8">
        <w:rPr>
          <w:b/>
          <w:color w:val="231F20"/>
        </w:rPr>
        <w:t xml:space="preserve"> </w:t>
      </w:r>
      <w:r w:rsidRPr="00DD3AE8">
        <w:rPr>
          <w:b/>
        </w:rPr>
        <w:t>12</w:t>
      </w:r>
      <w:r>
        <w:rPr>
          <w:b/>
        </w:rPr>
        <w:t>2</w:t>
      </w:r>
      <w:r w:rsidRPr="00DD3AE8">
        <w:rPr>
          <w:b/>
        </w:rPr>
        <w:t xml:space="preserve">9 </w:t>
      </w:r>
      <w:r w:rsidRPr="00DD3AE8">
        <w:rPr>
          <w:b/>
          <w:color w:val="231F20"/>
        </w:rPr>
        <w:t>BANDEIRA</w:t>
      </w:r>
      <w:r>
        <w:rPr>
          <w:b/>
          <w:color w:val="231F20"/>
        </w:rPr>
        <w:t>S</w:t>
      </w:r>
      <w:r w:rsidRPr="00DD3AE8">
        <w:rPr>
          <w:b/>
          <w:color w:val="231F20"/>
        </w:rPr>
        <w:t xml:space="preserve"> VERDES?</w:t>
      </w:r>
    </w:p>
    <w:p w:rsidR="00E70914" w:rsidRPr="00A62746" w:rsidRDefault="00E70914" w:rsidP="00E70914">
      <w:pPr>
        <w:pStyle w:val="SemEspaamento"/>
        <w:jc w:val="both"/>
      </w:pPr>
      <w:r w:rsidRPr="00A62746">
        <w:t xml:space="preserve">A Bandeira Verde Eco-Escolas simboliza o </w:t>
      </w:r>
      <w:r w:rsidRPr="00C93BDB">
        <w:rPr>
          <w:b/>
        </w:rPr>
        <w:t>reconhecimento da existência de um empenhado trabalho na área da educação ambiental e educação para a sustentabilidade, seguindo a metodologia do Programa Eco-Escolas</w:t>
      </w:r>
      <w:r w:rsidRPr="00A62746">
        <w:t xml:space="preserve">, a qual se inspirou por sua vez nos princípios de participação e cidadania subjacentes ao conceito </w:t>
      </w:r>
      <w:proofErr w:type="gramStart"/>
      <w:r w:rsidRPr="00A62746">
        <w:t>de  Agenda</w:t>
      </w:r>
      <w:proofErr w:type="gramEnd"/>
      <w:r w:rsidRPr="00A62746">
        <w:t xml:space="preserve"> 21 (Rio 92</w:t>
      </w:r>
      <w:r>
        <w:t>, reafirmado no rio+20)</w:t>
      </w:r>
      <w:r w:rsidRPr="00A62746">
        <w:t xml:space="preserve">. </w:t>
      </w:r>
    </w:p>
    <w:p w:rsidR="00E70914" w:rsidRPr="00A62746" w:rsidRDefault="00E70914" w:rsidP="00E70914">
      <w:pPr>
        <w:pStyle w:val="SemEspaamento"/>
        <w:jc w:val="both"/>
      </w:pPr>
      <w:r w:rsidRPr="00A62746">
        <w:t xml:space="preserve">De forma simplificada trata-se de percorrer ao longo do ano os 7 passos para uma Eco-Escola: 1- Conselho Eco-Escolas; 2- Auditoria Ambiental; 3- Plano de </w:t>
      </w:r>
      <w:proofErr w:type="spellStart"/>
      <w:r w:rsidRPr="00A62746">
        <w:t>Acção</w:t>
      </w:r>
      <w:proofErr w:type="spellEnd"/>
      <w:r w:rsidRPr="00A62746">
        <w:t xml:space="preserve">; 4- Monitorização e Avaliação; 5- Trabalho Curricular; 6- Divulgação; 7- </w:t>
      </w:r>
      <w:proofErr w:type="spellStart"/>
      <w:r w:rsidRPr="00A62746">
        <w:t>Eco-código</w:t>
      </w:r>
      <w:proofErr w:type="spellEnd"/>
      <w:r w:rsidRPr="00A62746">
        <w:t>.</w:t>
      </w:r>
    </w:p>
    <w:p w:rsidR="00E70914" w:rsidRPr="00A62746" w:rsidRDefault="00E70914" w:rsidP="00E70914">
      <w:pPr>
        <w:pStyle w:val="SemEspaamento"/>
        <w:jc w:val="both"/>
      </w:pPr>
      <w:r w:rsidRPr="00A62746">
        <w:t>Durante a implementação do Programa quer os municípios</w:t>
      </w:r>
      <w:r>
        <w:t>,</w:t>
      </w:r>
      <w:r w:rsidRPr="00A62746">
        <w:t xml:space="preserve"> quer a comunidade local são convidados a participar.</w:t>
      </w:r>
    </w:p>
    <w:p w:rsidR="00E70914" w:rsidRPr="00A62746" w:rsidRDefault="00E70914" w:rsidP="00E70914">
      <w:pPr>
        <w:pStyle w:val="SemEspaamento"/>
        <w:jc w:val="both"/>
      </w:pPr>
      <w:r w:rsidRPr="00A62746">
        <w:t>Para além dos 7 passos</w:t>
      </w:r>
      <w:r>
        <w:t>,</w:t>
      </w:r>
      <w:r w:rsidRPr="00A62746">
        <w:t xml:space="preserve"> </w:t>
      </w:r>
      <w:r>
        <w:t>as escolas</w:t>
      </w:r>
      <w:r w:rsidRPr="00A62746">
        <w:t xml:space="preserve"> reconhecidos com a </w:t>
      </w:r>
      <w:r>
        <w:t>B</w:t>
      </w:r>
      <w:r w:rsidRPr="00A62746">
        <w:t xml:space="preserve">andeira Verde </w:t>
      </w:r>
      <w:r>
        <w:t>trabalham ainda anualmente os</w:t>
      </w:r>
      <w:r w:rsidRPr="00A62746">
        <w:t xml:space="preserve"> temas: água</w:t>
      </w:r>
      <w:r w:rsidR="001F2E31">
        <w:t>,</w:t>
      </w:r>
      <w:r w:rsidRPr="00A62746">
        <w:t xml:space="preserve"> resíduos e energia e um dos</w:t>
      </w:r>
      <w:r>
        <w:t xml:space="preserve"> temas eleitos como tema do ano que em 2012/13 serão: Agricultura Biológica, Floresta ou Mar.</w:t>
      </w:r>
    </w:p>
    <w:p w:rsidR="00E70914" w:rsidRDefault="00E70914" w:rsidP="00E70914">
      <w:pPr>
        <w:pStyle w:val="SemEspaamento"/>
        <w:jc w:val="both"/>
      </w:pPr>
      <w:r w:rsidRPr="00A62746">
        <w:t xml:space="preserve">Um conjunto de </w:t>
      </w:r>
      <w:r w:rsidR="001F2E31" w:rsidRPr="00A62746">
        <w:t>projetos</w:t>
      </w:r>
      <w:r w:rsidRPr="00A62746">
        <w:t xml:space="preserve"> que integram </w:t>
      </w:r>
      <w:r>
        <w:t>nalguns casos concursos</w:t>
      </w:r>
      <w:r w:rsidRPr="00A62746">
        <w:t xml:space="preserve"> e desafios específicos são </w:t>
      </w:r>
      <w:r>
        <w:t xml:space="preserve">ainda </w:t>
      </w:r>
      <w:r w:rsidRPr="00A62746">
        <w:t xml:space="preserve">propostos às Eco-Escolas. </w:t>
      </w:r>
    </w:p>
    <w:p w:rsidR="00E70914" w:rsidRDefault="00E70914" w:rsidP="00E70914">
      <w:pPr>
        <w:pStyle w:val="SemEspaamento"/>
        <w:jc w:val="both"/>
      </w:pPr>
      <w:r>
        <w:t>Este ano as eco-escolas tiveram oportunidade de trabalhar nos seguintes projetos</w:t>
      </w:r>
      <w:proofErr w:type="gramStart"/>
      <w:r>
        <w:t xml:space="preserve">: </w:t>
      </w:r>
      <w:r w:rsidRPr="00A62746">
        <w:t xml:space="preserve"> </w:t>
      </w:r>
      <w:proofErr w:type="spellStart"/>
      <w:r>
        <w:t>Eco-repórter</w:t>
      </w:r>
      <w:proofErr w:type="spellEnd"/>
      <w:proofErr w:type="gramEnd"/>
      <w:r>
        <w:t xml:space="preserve"> da Energia </w:t>
      </w:r>
      <w:r w:rsidRPr="00A62746">
        <w:t xml:space="preserve">, Geração Depositrão, Poster </w:t>
      </w:r>
      <w:proofErr w:type="spellStart"/>
      <w:r w:rsidRPr="00A62746">
        <w:t>Eco-Código</w:t>
      </w:r>
      <w:proofErr w:type="spellEnd"/>
      <w:r w:rsidRPr="00A62746">
        <w:t xml:space="preserve">, </w:t>
      </w:r>
      <w:r>
        <w:t xml:space="preserve">Sim, vamos criar uma árvore, 7 Mandamentos 7 Maravilhas Praias de Portugal, </w:t>
      </w:r>
      <w:r w:rsidRPr="00A62746">
        <w:t xml:space="preserve">entre outros. </w:t>
      </w:r>
    </w:p>
    <w:p w:rsidR="00E70914" w:rsidRPr="001F2E31" w:rsidRDefault="00E70914" w:rsidP="001F2E31">
      <w:pPr>
        <w:pStyle w:val="SemEspaamento"/>
        <w:rPr>
          <w:i/>
        </w:rPr>
      </w:pPr>
      <w:r w:rsidRPr="00663571">
        <w:rPr>
          <w:b/>
          <w:i/>
        </w:rPr>
        <w:t xml:space="preserve">Mais informação sobre estes projetos </w:t>
      </w:r>
      <w:r>
        <w:rPr>
          <w:b/>
          <w:i/>
        </w:rPr>
        <w:t xml:space="preserve">acessível a partir do </w:t>
      </w:r>
      <w:proofErr w:type="gramStart"/>
      <w:r>
        <w:rPr>
          <w:b/>
          <w:i/>
        </w:rPr>
        <w:t>link</w:t>
      </w:r>
      <w:proofErr w:type="gramEnd"/>
      <w:r>
        <w:rPr>
          <w:b/>
          <w:i/>
        </w:rPr>
        <w:t>:</w:t>
      </w:r>
      <w:r w:rsidR="001F2E31">
        <w:rPr>
          <w:b/>
          <w:i/>
        </w:rPr>
        <w:t xml:space="preserve"> </w:t>
      </w:r>
      <w:hyperlink r:id="rId5" w:history="1">
        <w:r w:rsidR="001F2E31" w:rsidRPr="001F2E31">
          <w:rPr>
            <w:rStyle w:val="Hiperligao"/>
            <w:i/>
          </w:rPr>
          <w:t>http://www.abae.pt/programa/EE/inicio.php</w:t>
        </w:r>
      </w:hyperlink>
    </w:p>
    <w:p w:rsidR="001F2E31" w:rsidRPr="00663571" w:rsidRDefault="001F2E31" w:rsidP="00E70914">
      <w:pPr>
        <w:pStyle w:val="SemEspaamento"/>
        <w:jc w:val="both"/>
        <w:rPr>
          <w:b/>
          <w:i/>
        </w:rPr>
      </w:pPr>
    </w:p>
    <w:p w:rsidR="00686A35" w:rsidRPr="001225F8" w:rsidRDefault="009F4842" w:rsidP="00686A35">
      <w:pPr>
        <w:pStyle w:val="SemEspaamento"/>
        <w:rPr>
          <w:b/>
          <w:lang w:eastAsia="pt-PT"/>
        </w:rPr>
      </w:pPr>
      <w:r>
        <w:rPr>
          <w:b/>
          <w:lang w:eastAsia="pt-PT"/>
        </w:rPr>
        <w:br/>
      </w:r>
      <w:r w:rsidR="00686A35" w:rsidRPr="001225F8">
        <w:rPr>
          <w:b/>
          <w:lang w:eastAsia="pt-PT"/>
        </w:rPr>
        <w:t>ECO-ESCOLAS EM N</w:t>
      </w:r>
      <w:r w:rsidR="00686A35">
        <w:rPr>
          <w:b/>
          <w:lang w:eastAsia="pt-PT"/>
        </w:rPr>
        <w:t>Ú</w:t>
      </w:r>
      <w:r w:rsidR="00686A35" w:rsidRPr="001225F8">
        <w:rPr>
          <w:b/>
          <w:lang w:eastAsia="pt-PT"/>
        </w:rPr>
        <w:t>MEROS</w:t>
      </w:r>
    </w:p>
    <w:p w:rsidR="00686A35" w:rsidRPr="00A62746" w:rsidRDefault="00686A35" w:rsidP="00E70914">
      <w:pPr>
        <w:pStyle w:val="SemEspaamento"/>
        <w:jc w:val="both"/>
      </w:pPr>
      <w:r w:rsidRPr="00A62746">
        <w:t>O Eco-Escolas que se inicia a nível nacional em 199</w:t>
      </w:r>
      <w:r>
        <w:t>6</w:t>
      </w:r>
      <w:r w:rsidRPr="00A62746">
        <w:t>, está hoje em</w:t>
      </w:r>
      <w:r w:rsidR="0019633F">
        <w:t xml:space="preserve"> mais </w:t>
      </w:r>
      <w:proofErr w:type="gramStart"/>
      <w:r w:rsidR="0019633F">
        <w:t xml:space="preserve">de </w:t>
      </w:r>
      <w:r w:rsidRPr="00A62746">
        <w:t xml:space="preserve"> </w:t>
      </w:r>
      <w:r w:rsidRPr="007B14CE">
        <w:rPr>
          <w:b/>
        </w:rPr>
        <w:t>7</w:t>
      </w:r>
      <w:r w:rsidR="0019633F">
        <w:rPr>
          <w:b/>
        </w:rPr>
        <w:t>5</w:t>
      </w:r>
      <w:proofErr w:type="gramEnd"/>
      <w:r w:rsidRPr="007B14CE">
        <w:rPr>
          <w:b/>
        </w:rPr>
        <w:t xml:space="preserve"> % dos concelhos do país </w:t>
      </w:r>
      <w:r w:rsidRPr="00A62746">
        <w:t xml:space="preserve">com a participação de cerca de </w:t>
      </w:r>
      <w:r w:rsidRPr="00C93BDB">
        <w:rPr>
          <w:b/>
        </w:rPr>
        <w:t>2</w:t>
      </w:r>
      <w:r w:rsidRPr="007B14CE">
        <w:rPr>
          <w:b/>
        </w:rPr>
        <w:t xml:space="preserve">5% das escolas públicas do ensino básico </w:t>
      </w:r>
      <w:r>
        <w:rPr>
          <w:b/>
        </w:rPr>
        <w:t>ao</w:t>
      </w:r>
      <w:r w:rsidRPr="007B14CE">
        <w:rPr>
          <w:b/>
        </w:rPr>
        <w:t xml:space="preserve"> secundário</w:t>
      </w:r>
      <w:r w:rsidRPr="00A62746">
        <w:t>, para além de incluir ainda outros estabelecimentos: colégios</w:t>
      </w:r>
      <w:r w:rsidR="009F4842">
        <w:t xml:space="preserve"> e</w:t>
      </w:r>
      <w:r w:rsidRPr="00A62746">
        <w:t xml:space="preserve"> escolas privadas</w:t>
      </w:r>
      <w:r w:rsidR="009F4842">
        <w:t>;</w:t>
      </w:r>
      <w:r w:rsidRPr="00A62746">
        <w:t xml:space="preserve"> pré-escola</w:t>
      </w:r>
      <w:r w:rsidR="0019633F">
        <w:t>r</w:t>
      </w:r>
      <w:r w:rsidRPr="00A62746">
        <w:t xml:space="preserve"> e ensino superior</w:t>
      </w:r>
      <w:r>
        <w:t>.</w:t>
      </w:r>
      <w:r w:rsidRPr="00A62746">
        <w:t xml:space="preserve"> </w:t>
      </w:r>
    </w:p>
    <w:p w:rsidR="00E70914" w:rsidRDefault="00686A35" w:rsidP="00E70914">
      <w:pPr>
        <w:pStyle w:val="SemEspaamento"/>
        <w:jc w:val="both"/>
      </w:pPr>
      <w:r>
        <w:t>O</w:t>
      </w:r>
      <w:r w:rsidRPr="00A62746">
        <w:t xml:space="preserve"> Programa tem vindo constantemente a crescer quer em escolas inscritas, escolas</w:t>
      </w:r>
      <w:r>
        <w:t xml:space="preserve"> g</w:t>
      </w:r>
      <w:r w:rsidRPr="00A62746">
        <w:t>alardoadas e municípios envolvidos</w:t>
      </w:r>
      <w:r w:rsidR="009F4842">
        <w:t xml:space="preserve"> à exceção deste último ano durante o qual não cresceu o número de inscritas embora tenha aumentado o numero de galardoadas</w:t>
      </w:r>
      <w:r w:rsidR="00E70914">
        <w:t>.</w:t>
      </w:r>
    </w:p>
    <w:p w:rsidR="00686A35" w:rsidRDefault="00686A35" w:rsidP="00E70914">
      <w:pPr>
        <w:pStyle w:val="SemEspaamento"/>
        <w:jc w:val="both"/>
      </w:pPr>
    </w:p>
    <w:p w:rsidR="00686A35" w:rsidRPr="007B14CE" w:rsidRDefault="00686A35" w:rsidP="00686A35">
      <w:pPr>
        <w:pStyle w:val="SemEspaamento"/>
        <w:jc w:val="both"/>
        <w:rPr>
          <w:b/>
        </w:rPr>
      </w:pPr>
      <w:r w:rsidRPr="007B14CE">
        <w:rPr>
          <w:b/>
        </w:rPr>
        <w:t>Em 201</w:t>
      </w:r>
      <w:r>
        <w:rPr>
          <w:b/>
        </w:rPr>
        <w:t>2</w:t>
      </w:r>
      <w:r w:rsidRPr="007B14CE">
        <w:rPr>
          <w:b/>
        </w:rPr>
        <w:t xml:space="preserve"> </w:t>
      </w:r>
      <w:r>
        <w:rPr>
          <w:b/>
        </w:rPr>
        <w:t xml:space="preserve">inscreveram-se </w:t>
      </w:r>
      <w:r w:rsidRPr="007B14CE">
        <w:rPr>
          <w:b/>
        </w:rPr>
        <w:t>1</w:t>
      </w:r>
      <w:r w:rsidR="0019633F">
        <w:rPr>
          <w:b/>
        </w:rPr>
        <w:t>443</w:t>
      </w:r>
      <w:r w:rsidRPr="007B14CE">
        <w:rPr>
          <w:b/>
        </w:rPr>
        <w:t xml:space="preserve"> escolas </w:t>
      </w:r>
      <w:r w:rsidR="006C51B4">
        <w:rPr>
          <w:b/>
        </w:rPr>
        <w:t xml:space="preserve">em 232 </w:t>
      </w:r>
      <w:r w:rsidR="009F4842">
        <w:rPr>
          <w:b/>
        </w:rPr>
        <w:t>municípios</w:t>
      </w:r>
      <w:r w:rsidR="006C51B4">
        <w:rPr>
          <w:b/>
        </w:rPr>
        <w:t xml:space="preserve"> tendo sido </w:t>
      </w:r>
      <w:r w:rsidRPr="007B14CE">
        <w:rPr>
          <w:b/>
        </w:rPr>
        <w:t xml:space="preserve">galardoadas </w:t>
      </w:r>
      <w:r w:rsidR="006C51B4">
        <w:rPr>
          <w:b/>
        </w:rPr>
        <w:t xml:space="preserve">1229 </w:t>
      </w:r>
      <w:r w:rsidR="0019633F">
        <w:rPr>
          <w:b/>
        </w:rPr>
        <w:t xml:space="preserve">com a </w:t>
      </w:r>
      <w:r>
        <w:rPr>
          <w:b/>
        </w:rPr>
        <w:t xml:space="preserve">Bandeira Eco-Escolas </w:t>
      </w:r>
      <w:r w:rsidRPr="007B14CE">
        <w:rPr>
          <w:b/>
        </w:rPr>
        <w:t xml:space="preserve">em 219 </w:t>
      </w:r>
      <w:proofErr w:type="gramStart"/>
      <w:r w:rsidRPr="007B14CE">
        <w:rPr>
          <w:b/>
        </w:rPr>
        <w:t>municípios</w:t>
      </w:r>
      <w:r w:rsidRPr="00C93BDB">
        <w:t>(*</w:t>
      </w:r>
      <w:proofErr w:type="gramEnd"/>
      <w:r w:rsidRPr="00C93BDB">
        <w:t>)</w:t>
      </w:r>
      <w:r>
        <w:rPr>
          <w:b/>
        </w:rPr>
        <w:t>.</w:t>
      </w:r>
    </w:p>
    <w:p w:rsidR="00686A35" w:rsidRPr="007B14CE" w:rsidRDefault="00686A35" w:rsidP="00E70914">
      <w:pPr>
        <w:spacing w:after="0"/>
        <w:rPr>
          <w:lang w:eastAsia="pt-PT"/>
        </w:rPr>
      </w:pPr>
      <w:r w:rsidRPr="009F4842">
        <w:rPr>
          <w:lang w:val="pt-PT" w:eastAsia="pt-PT"/>
        </w:rPr>
        <w:t xml:space="preserve">A nível </w:t>
      </w:r>
      <w:proofErr w:type="gramStart"/>
      <w:r w:rsidRPr="009F4842">
        <w:rPr>
          <w:lang w:val="pt-PT" w:eastAsia="pt-PT"/>
        </w:rPr>
        <w:t>internacional(**</w:t>
      </w:r>
      <w:proofErr w:type="gramEnd"/>
      <w:r w:rsidRPr="009F4842">
        <w:rPr>
          <w:lang w:val="pt-PT" w:eastAsia="pt-PT"/>
        </w:rPr>
        <w:t xml:space="preserve">) o Eco-Escolas surge </w:t>
      </w:r>
      <w:r w:rsidR="006C51B4">
        <w:rPr>
          <w:rFonts w:ascii="Times New Roman" w:hAnsi="Times New Roman"/>
          <w:sz w:val="24"/>
          <w:szCs w:val="24"/>
        </w:rPr>
        <w:pict>
          <v:shape id="_x0000_s1028" type="#_x0000_t201" style="position:absolute;margin-left:334.5pt;margin-top:722.45pt;width:224.8pt;height:70.7pt;z-index:251664384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  <w:r w:rsidRPr="00E70914">
        <w:rPr>
          <w:lang w:val="pt-PT" w:eastAsia="pt-PT"/>
        </w:rPr>
        <w:t xml:space="preserve">pela primeira vez na </w:t>
      </w:r>
      <w:r w:rsidRPr="00E70914">
        <w:rPr>
          <w:i/>
          <w:lang w:val="pt-PT"/>
        </w:rPr>
        <w:t>Dinamarca, Alemanha, Grécia e Reino Unido em 1994.</w:t>
      </w:r>
      <w:r w:rsidRPr="00E70914">
        <w:rPr>
          <w:lang w:val="pt-PT" w:eastAsia="pt-PT"/>
        </w:rPr>
        <w:t xml:space="preserve"> </w:t>
      </w:r>
      <w:proofErr w:type="spellStart"/>
      <w:r w:rsidRPr="007B14CE">
        <w:rPr>
          <w:lang w:eastAsia="pt-PT"/>
        </w:rPr>
        <w:t>Hoje</w:t>
      </w:r>
      <w:proofErr w:type="spellEnd"/>
      <w:r w:rsidRPr="007B14CE">
        <w:rPr>
          <w:lang w:eastAsia="pt-PT"/>
        </w:rPr>
        <w:t xml:space="preserve"> </w:t>
      </w:r>
      <w:proofErr w:type="spellStart"/>
      <w:r w:rsidRPr="007B14CE">
        <w:rPr>
          <w:lang w:eastAsia="pt-PT"/>
        </w:rPr>
        <w:t>estão</w:t>
      </w:r>
      <w:proofErr w:type="spellEnd"/>
      <w:r w:rsidRPr="007B14CE">
        <w:rPr>
          <w:lang w:eastAsia="pt-PT"/>
        </w:rPr>
        <w:t xml:space="preserve"> </w:t>
      </w:r>
      <w:proofErr w:type="spellStart"/>
      <w:r w:rsidRPr="007B14CE">
        <w:rPr>
          <w:lang w:eastAsia="pt-PT"/>
        </w:rPr>
        <w:t>envolvidas</w:t>
      </w:r>
      <w:proofErr w:type="spellEnd"/>
      <w:r w:rsidRPr="007B14CE">
        <w:rPr>
          <w:lang w:eastAsia="pt-PT"/>
        </w:rPr>
        <w:t xml:space="preserve"> </w:t>
      </w:r>
      <w:proofErr w:type="spellStart"/>
      <w:r w:rsidRPr="007B14CE">
        <w:rPr>
          <w:lang w:eastAsia="pt-PT"/>
        </w:rPr>
        <w:t>cerca</w:t>
      </w:r>
      <w:proofErr w:type="spellEnd"/>
      <w:r w:rsidRPr="007B14CE">
        <w:rPr>
          <w:lang w:eastAsia="pt-PT"/>
        </w:rPr>
        <w:t xml:space="preserve"> de 40</w:t>
      </w:r>
      <w:r w:rsidR="0019633F">
        <w:rPr>
          <w:lang w:eastAsia="pt-PT"/>
        </w:rPr>
        <w:t>.</w:t>
      </w:r>
      <w:r w:rsidRPr="007B14CE">
        <w:rPr>
          <w:lang w:eastAsia="pt-PT"/>
        </w:rPr>
        <w:t xml:space="preserve">000 escolas, </w:t>
      </w:r>
      <w:proofErr w:type="gramStart"/>
      <w:r w:rsidRPr="007B14CE">
        <w:rPr>
          <w:lang w:eastAsia="pt-PT"/>
        </w:rPr>
        <w:t>em  55</w:t>
      </w:r>
      <w:proofErr w:type="gramEnd"/>
      <w:r w:rsidRPr="007B14CE">
        <w:rPr>
          <w:lang w:eastAsia="pt-PT"/>
        </w:rPr>
        <w:t xml:space="preserve"> países onde outras ONG de Ambiente pertencentes à FEE desenvolvem também o Eco-Escolas.</w:t>
      </w:r>
    </w:p>
    <w:p w:rsidR="00686A35" w:rsidRDefault="00686A35" w:rsidP="00686A35">
      <w:pPr>
        <w:pStyle w:val="SemEspaamento"/>
        <w:rPr>
          <w:lang w:eastAsia="pt-PT"/>
        </w:rPr>
      </w:pPr>
      <w:r>
        <w:rPr>
          <w:lang w:eastAsia="pt-PT"/>
        </w:rPr>
        <w:t>_________________________</w:t>
      </w:r>
    </w:p>
    <w:p w:rsidR="00686A35" w:rsidRPr="005A09B1" w:rsidRDefault="00686A35" w:rsidP="00686A35">
      <w:pPr>
        <w:pStyle w:val="SemEspaamento"/>
        <w:rPr>
          <w:i/>
          <w:sz w:val="18"/>
          <w:szCs w:val="18"/>
        </w:rPr>
      </w:pPr>
      <w:proofErr w:type="gramStart"/>
      <w:r w:rsidRPr="005A09B1">
        <w:rPr>
          <w:i/>
          <w:sz w:val="18"/>
          <w:szCs w:val="18"/>
        </w:rPr>
        <w:t>(*</w:t>
      </w:r>
      <w:proofErr w:type="gramEnd"/>
      <w:r w:rsidRPr="005A09B1">
        <w:rPr>
          <w:i/>
          <w:sz w:val="18"/>
          <w:szCs w:val="18"/>
        </w:rPr>
        <w:t>)Ver documento em anexo com o número de Eco-Escolas por município</w:t>
      </w:r>
    </w:p>
    <w:p w:rsidR="00686A35" w:rsidRPr="005A09B1" w:rsidRDefault="00686A35" w:rsidP="00686A35">
      <w:pPr>
        <w:pStyle w:val="SemEspaamento"/>
        <w:jc w:val="both"/>
        <w:rPr>
          <w:i/>
          <w:sz w:val="18"/>
          <w:szCs w:val="18"/>
        </w:rPr>
      </w:pPr>
      <w:r w:rsidRPr="005A09B1">
        <w:rPr>
          <w:rStyle w:val="Refdenotadefim"/>
          <w:i/>
          <w:sz w:val="18"/>
          <w:szCs w:val="18"/>
        </w:rPr>
        <w:t>(</w:t>
      </w:r>
      <w:r w:rsidRPr="005A09B1">
        <w:rPr>
          <w:i/>
          <w:sz w:val="18"/>
          <w:szCs w:val="18"/>
        </w:rPr>
        <w:t xml:space="preserve">**) Internacionalmente o Programa Eco-Escolas nasce em 1992 tendo sido desenvolvido foi desenvolvido como uma resposta a algumas das necessidades identificadas na conferência da Nações </w:t>
      </w:r>
      <w:proofErr w:type="gramStart"/>
      <w:r w:rsidRPr="005A09B1">
        <w:rPr>
          <w:i/>
          <w:sz w:val="18"/>
          <w:szCs w:val="18"/>
        </w:rPr>
        <w:t>Unidas  sobre</w:t>
      </w:r>
      <w:proofErr w:type="gramEnd"/>
      <w:r w:rsidRPr="005A09B1">
        <w:rPr>
          <w:i/>
          <w:sz w:val="18"/>
          <w:szCs w:val="18"/>
        </w:rPr>
        <w:t xml:space="preserve"> o Ambiente e Desenvolvimento de 1992.  O programa inicia-se a nível experimental em 1994, com o apoio da Comissão Europeia (DG XI e DG XXII), em 4 países: Dinamarca, Alemanha, Grécia e Reino Unido. Em 2003 as Eco-Escolas foram identificadas pelo Programa das Nações Unidas para o Ambiente (UNEP) como uma iniciativa modelo para a Educação para o Desenvolvimento Sustentável. </w:t>
      </w:r>
    </w:p>
    <w:p w:rsidR="005C31C3" w:rsidRDefault="00686A35" w:rsidP="00686A35">
      <w:pPr>
        <w:pStyle w:val="SemEspaamento"/>
        <w:rPr>
          <w:b/>
        </w:rPr>
      </w:pPr>
      <w:r w:rsidRPr="00A71755">
        <w:rPr>
          <w:b/>
        </w:rPr>
        <w:lastRenderedPageBreak/>
        <w:t>EVOLUÇÃO DO PROGRAMA ECO-ESCOLAS EM PORTUGAL</w:t>
      </w:r>
    </w:p>
    <w:p w:rsidR="00686A35" w:rsidRPr="00A62746" w:rsidRDefault="005C31C3" w:rsidP="00686A35">
      <w:pPr>
        <w:pStyle w:val="SemEspaamento"/>
        <w:rPr>
          <w:b/>
        </w:rPr>
      </w:pPr>
      <w:r w:rsidRPr="005C31C3">
        <w:rPr>
          <w:b/>
        </w:rPr>
        <w:drawing>
          <wp:inline distT="0" distB="0" distL="0" distR="0">
            <wp:extent cx="5398668" cy="3533242"/>
            <wp:effectExtent l="19050" t="0" r="11532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686A35">
        <w:rPr>
          <w:b/>
        </w:rPr>
        <w:br/>
      </w:r>
      <w:r w:rsidR="00686A35" w:rsidRPr="001225F8">
        <w:rPr>
          <w:b/>
        </w:rPr>
        <w:t xml:space="preserve"> </w:t>
      </w:r>
      <w:r w:rsidR="00686A35" w:rsidRPr="00A62746">
        <w:rPr>
          <w:b/>
        </w:rPr>
        <w:t>A aposta na Formação</w:t>
      </w:r>
    </w:p>
    <w:p w:rsidR="00686A35" w:rsidRPr="001F2E31" w:rsidRDefault="00686A35" w:rsidP="00686A35">
      <w:pPr>
        <w:pStyle w:val="SemEspaamento"/>
        <w:jc w:val="both"/>
      </w:pPr>
      <w:r w:rsidRPr="00FF361D">
        <w:t>Em 201</w:t>
      </w:r>
      <w:r w:rsidR="00E70914">
        <w:t>2</w:t>
      </w:r>
      <w:r w:rsidRPr="00FF361D">
        <w:t xml:space="preserve">, o Seminário Nacional Eco-Escolas decorreu com o apoio do município </w:t>
      </w:r>
      <w:r w:rsidR="00E70914">
        <w:t xml:space="preserve">de Beja, estando este ano previsto para Águeda </w:t>
      </w:r>
      <w:r w:rsidR="001F2E31">
        <w:t xml:space="preserve">para os dias </w:t>
      </w:r>
      <w:r w:rsidR="00E70914">
        <w:t xml:space="preserve">nos dias </w:t>
      </w:r>
      <w:r w:rsidR="00E70914" w:rsidRPr="001F2E31">
        <w:rPr>
          <w:b/>
        </w:rPr>
        <w:t>24, 25 e 26 de Janeiro</w:t>
      </w:r>
      <w:r w:rsidR="001F2E31" w:rsidRPr="001F2E31">
        <w:rPr>
          <w:b/>
        </w:rPr>
        <w:t xml:space="preserve"> de 2013</w:t>
      </w:r>
      <w:r w:rsidR="00E70914" w:rsidRPr="001F2E31">
        <w:rPr>
          <w:b/>
        </w:rPr>
        <w:t>.</w:t>
      </w:r>
      <w:r w:rsidR="00E70914">
        <w:t xml:space="preserve"> Este é apenas um dos momentos anuais de </w:t>
      </w:r>
      <w:r w:rsidRPr="00FF361D">
        <w:t>(</w:t>
      </w:r>
      <w:proofErr w:type="gramStart"/>
      <w:r w:rsidRPr="00FF361D">
        <w:t>in)formação</w:t>
      </w:r>
      <w:proofErr w:type="gramEnd"/>
      <w:r w:rsidRPr="00FF361D">
        <w:t xml:space="preserve"> e partilha </w:t>
      </w:r>
      <w:r w:rsidR="00E70914">
        <w:t xml:space="preserve">entre os </w:t>
      </w:r>
      <w:r w:rsidRPr="00FF361D">
        <w:t>cerca de</w:t>
      </w:r>
      <w:r w:rsidRPr="001F2E31">
        <w:t xml:space="preserve"> 450 professores e 50 técnicos do municípios</w:t>
      </w:r>
      <w:r w:rsidR="00E70914" w:rsidRPr="001F2E31">
        <w:t xml:space="preserve"> que habitualmente comparecem a este Encontro</w:t>
      </w:r>
      <w:r w:rsidRPr="001F2E31">
        <w:t xml:space="preserve">. </w:t>
      </w:r>
    </w:p>
    <w:p w:rsidR="00686A35" w:rsidRPr="00A62746" w:rsidRDefault="00686A35" w:rsidP="00686A35">
      <w:pPr>
        <w:pStyle w:val="SemEspaamento"/>
        <w:jc w:val="both"/>
      </w:pPr>
      <w:r w:rsidRPr="001F2E31">
        <w:t>Para além dos Seminários Regionais que a Coordenação nas regiões autónomas promo</w:t>
      </w:r>
      <w:r w:rsidRPr="00A62746">
        <w:t xml:space="preserve">ve anualmente, a ABAE realiza ainda ao longo do ano diversas sessões de formação, um pouco por todo o país. </w:t>
      </w:r>
    </w:p>
    <w:p w:rsidR="00E70914" w:rsidRDefault="00686A35" w:rsidP="00686A35">
      <w:pPr>
        <w:pStyle w:val="SemEspaamento"/>
        <w:rPr>
          <w:b/>
        </w:rPr>
      </w:pPr>
      <w:proofErr w:type="gramStart"/>
      <w:r w:rsidRPr="00A62746">
        <w:t xml:space="preserve">O  </w:t>
      </w:r>
      <w:r w:rsidRPr="007B14CE">
        <w:rPr>
          <w:b/>
        </w:rPr>
        <w:t>V</w:t>
      </w:r>
      <w:r w:rsidR="00E70914">
        <w:rPr>
          <w:b/>
        </w:rPr>
        <w:t>I</w:t>
      </w:r>
      <w:proofErr w:type="gramEnd"/>
      <w:r w:rsidRPr="007B14CE">
        <w:rPr>
          <w:b/>
        </w:rPr>
        <w:t xml:space="preserve"> Encontro Regional Eco-Escolas da Região Autónoma da Madeira</w:t>
      </w:r>
      <w:r w:rsidRPr="00A62746">
        <w:t xml:space="preserve"> terá este ano lugar em </w:t>
      </w:r>
      <w:r w:rsidR="005C31C3">
        <w:t>S</w:t>
      </w:r>
      <w:r w:rsidR="00E70914">
        <w:t>antana</w:t>
      </w:r>
      <w:r w:rsidRPr="00A62746">
        <w:t xml:space="preserve"> nos dias </w:t>
      </w:r>
      <w:r w:rsidR="00E70914">
        <w:rPr>
          <w:b/>
        </w:rPr>
        <w:t>26</w:t>
      </w:r>
      <w:r w:rsidRPr="00A62746">
        <w:rPr>
          <w:b/>
        </w:rPr>
        <w:t xml:space="preserve"> e </w:t>
      </w:r>
      <w:r w:rsidR="00E70914">
        <w:rPr>
          <w:b/>
        </w:rPr>
        <w:t>27</w:t>
      </w:r>
      <w:r w:rsidRPr="00A62746">
        <w:rPr>
          <w:b/>
        </w:rPr>
        <w:t xml:space="preserve"> de Outubro de 201</w:t>
      </w:r>
      <w:r w:rsidR="00E70914">
        <w:rPr>
          <w:b/>
        </w:rPr>
        <w:t>2</w:t>
      </w:r>
      <w:r w:rsidRPr="00A62746">
        <w:rPr>
          <w:b/>
        </w:rPr>
        <w:t xml:space="preserve">. </w:t>
      </w:r>
    </w:p>
    <w:p w:rsidR="00686A35" w:rsidRPr="00A62746" w:rsidRDefault="00686A35" w:rsidP="00686A35">
      <w:pPr>
        <w:pStyle w:val="SemEspaamento"/>
        <w:rPr>
          <w:b/>
        </w:rPr>
      </w:pPr>
    </w:p>
    <w:p w:rsidR="00686A35" w:rsidRPr="00A62746" w:rsidRDefault="00686A35" w:rsidP="00686A35">
      <w:pPr>
        <w:pStyle w:val="SemEspaamento"/>
        <w:rPr>
          <w:b/>
          <w:lang w:eastAsia="pt-PT"/>
        </w:rPr>
      </w:pPr>
      <w:r w:rsidRPr="00A62746">
        <w:rPr>
          <w:b/>
          <w:lang w:eastAsia="pt-PT"/>
        </w:rPr>
        <w:t>Apoios e parcerias</w:t>
      </w:r>
    </w:p>
    <w:p w:rsidR="00E70914" w:rsidRPr="00A62746" w:rsidRDefault="00686A35" w:rsidP="00E70914">
      <w:pPr>
        <w:pStyle w:val="SemEspaamento"/>
      </w:pPr>
      <w:r w:rsidRPr="00A62746">
        <w:rPr>
          <w:lang w:eastAsia="pt-PT"/>
        </w:rPr>
        <w:t xml:space="preserve">As parcerias com municípios e outras entidades públicas e privadas, têm constituído um dos pilares da sustentabilidade deste </w:t>
      </w:r>
      <w:proofErr w:type="gramStart"/>
      <w:r w:rsidRPr="00A62746">
        <w:rPr>
          <w:lang w:eastAsia="pt-PT"/>
        </w:rPr>
        <w:t xml:space="preserve">Programa </w:t>
      </w:r>
      <w:r w:rsidR="00E70914">
        <w:rPr>
          <w:lang w:eastAsia="pt-PT"/>
        </w:rPr>
        <w:t>.</w:t>
      </w:r>
      <w:proofErr w:type="gramEnd"/>
      <w:r w:rsidRPr="00A62746">
        <w:rPr>
          <w:lang w:eastAsia="pt-PT"/>
        </w:rPr>
        <w:t xml:space="preserve"> </w:t>
      </w:r>
      <w:r w:rsidR="00E70914" w:rsidRPr="00A62746">
        <w:t>O envolvimento crescente dos municípios traduz o reconhecimento da administração local do impacto deste Programa na mudança de comportamentos na comunidade.</w:t>
      </w:r>
    </w:p>
    <w:p w:rsidR="00E70914" w:rsidRPr="00A62746" w:rsidRDefault="00E70914" w:rsidP="00E70914">
      <w:pPr>
        <w:pStyle w:val="SemEspaamento"/>
      </w:pPr>
      <w:r w:rsidRPr="00A62746">
        <w:t xml:space="preserve">As sinergias entre os municípios, a ABAE e as escolas começam a desenvolver-se de forma mais </w:t>
      </w:r>
      <w:r w:rsidR="005C31C3" w:rsidRPr="00A62746">
        <w:t>efetiva</w:t>
      </w:r>
      <w:r w:rsidRPr="00A62746">
        <w:t xml:space="preserve"> e sistemática, sendo já muitos os municípios que disponibilizam apoios diversificados, que vão desde ao acompanhamento técnico, formação, apoio em transportes ou cedência de materiais, até aos prémios de incentivo.</w:t>
      </w:r>
    </w:p>
    <w:p w:rsidR="00686A35" w:rsidRPr="00A62746" w:rsidRDefault="00686A35" w:rsidP="00686A35">
      <w:pPr>
        <w:pStyle w:val="SemEspaamento"/>
        <w:jc w:val="both"/>
        <w:rPr>
          <w:lang w:eastAsia="pt-PT"/>
        </w:rPr>
      </w:pPr>
    </w:p>
    <w:p w:rsidR="00686A35" w:rsidRDefault="00686A35" w:rsidP="001F2E31">
      <w:pPr>
        <w:pStyle w:val="SemEspaamento"/>
        <w:jc w:val="both"/>
      </w:pPr>
      <w:r w:rsidRPr="00A62746">
        <w:rPr>
          <w:lang w:eastAsia="pt-PT"/>
        </w:rPr>
        <w:t xml:space="preserve">Destaque </w:t>
      </w:r>
      <w:r w:rsidR="00E70914" w:rsidRPr="00A62746">
        <w:rPr>
          <w:lang w:eastAsia="pt-PT"/>
        </w:rPr>
        <w:t>para a</w:t>
      </w:r>
      <w:r w:rsidRPr="00A62746">
        <w:rPr>
          <w:lang w:eastAsia="pt-PT"/>
        </w:rPr>
        <w:t xml:space="preserve"> parceria com a ERP Portugal, entidade gestora de Equipamentos de Resíduos de Equipamentos </w:t>
      </w:r>
      <w:proofErr w:type="spellStart"/>
      <w:r w:rsidRPr="00A62746">
        <w:rPr>
          <w:lang w:eastAsia="pt-PT"/>
        </w:rPr>
        <w:t>Eléctricos</w:t>
      </w:r>
      <w:proofErr w:type="spellEnd"/>
      <w:r w:rsidRPr="00A62746">
        <w:rPr>
          <w:lang w:eastAsia="pt-PT"/>
        </w:rPr>
        <w:t xml:space="preserve"> e </w:t>
      </w:r>
      <w:proofErr w:type="spellStart"/>
      <w:r w:rsidRPr="00A62746">
        <w:rPr>
          <w:lang w:eastAsia="pt-PT"/>
        </w:rPr>
        <w:t>Electrónicos</w:t>
      </w:r>
      <w:proofErr w:type="spellEnd"/>
      <w:r w:rsidRPr="00A62746">
        <w:rPr>
          <w:lang w:eastAsia="pt-PT"/>
        </w:rPr>
        <w:t xml:space="preserve"> (REEE), pilhas e acumuladores, com quem </w:t>
      </w:r>
      <w:r w:rsidR="005C31C3">
        <w:rPr>
          <w:lang w:eastAsia="pt-PT"/>
        </w:rPr>
        <w:t>s</w:t>
      </w:r>
      <w:r w:rsidRPr="00A62746">
        <w:rPr>
          <w:lang w:eastAsia="pt-PT"/>
        </w:rPr>
        <w:t xml:space="preserve">e tem desenvolvido a Geração </w:t>
      </w:r>
      <w:r w:rsidR="00E70914" w:rsidRPr="00A62746">
        <w:rPr>
          <w:lang w:eastAsia="pt-PT"/>
        </w:rPr>
        <w:t>Depositrão</w:t>
      </w:r>
      <w:r w:rsidR="005C31C3">
        <w:rPr>
          <w:lang w:eastAsia="pt-PT"/>
        </w:rPr>
        <w:t xml:space="preserve"> e ainda com a Fundação EDP</w:t>
      </w:r>
      <w:r w:rsidR="00E70914" w:rsidRPr="00A62746">
        <w:rPr>
          <w:lang w:eastAsia="pt-PT"/>
        </w:rPr>
        <w:t xml:space="preserve">. </w:t>
      </w:r>
      <w:r w:rsidRPr="00A62746">
        <w:rPr>
          <w:lang w:eastAsia="pt-PT"/>
        </w:rPr>
        <w:t xml:space="preserve">Também o contributo </w:t>
      </w:r>
      <w:r w:rsidR="00E70914" w:rsidRPr="00A62746">
        <w:rPr>
          <w:lang w:eastAsia="pt-PT"/>
        </w:rPr>
        <w:t>de diversas</w:t>
      </w:r>
      <w:r w:rsidRPr="00A62746">
        <w:rPr>
          <w:lang w:eastAsia="pt-PT"/>
        </w:rPr>
        <w:t xml:space="preserve"> entidades que compõem a Comissão Nacional, tem sido fundamental no apoio técnico ao Programa, nomeadamente, a Agência Portuguesa de Ambiente, o Instituto da Conservação da Natureza da Biodiversidade</w:t>
      </w:r>
      <w:r w:rsidR="005C31C3">
        <w:rPr>
          <w:lang w:eastAsia="pt-PT"/>
        </w:rPr>
        <w:t xml:space="preserve"> e Floresta</w:t>
      </w:r>
      <w:r w:rsidRPr="00A62746">
        <w:rPr>
          <w:lang w:eastAsia="pt-PT"/>
        </w:rPr>
        <w:t xml:space="preserve">, o Instituto da Água, o Ministério da Educação através da Direcção Geral de Inovação e Desenvolvimento Curricular e das várias </w:t>
      </w:r>
      <w:r w:rsidR="00E70914" w:rsidRPr="00A62746">
        <w:rPr>
          <w:lang w:eastAsia="pt-PT"/>
        </w:rPr>
        <w:t>Direções</w:t>
      </w:r>
      <w:r w:rsidRPr="00A62746">
        <w:rPr>
          <w:lang w:eastAsia="pt-PT"/>
        </w:rPr>
        <w:t xml:space="preserve"> Regionais de Educação, Direcção Regional de Ambiente da Madeira, a Secretaria Regional de Ambiente e do Mar dos Açores, a Agência para a Energia, </w:t>
      </w:r>
      <w:r w:rsidR="005C31C3">
        <w:rPr>
          <w:lang w:eastAsia="pt-PT"/>
        </w:rPr>
        <w:t>a</w:t>
      </w:r>
      <w:r w:rsidRPr="00A62746">
        <w:rPr>
          <w:lang w:eastAsia="pt-PT"/>
        </w:rPr>
        <w:t xml:space="preserve"> Estrutura </w:t>
      </w:r>
      <w:r w:rsidR="005C31C3">
        <w:rPr>
          <w:lang w:eastAsia="pt-PT"/>
        </w:rPr>
        <w:t>para a Extensão da Plataforma Continental</w:t>
      </w:r>
      <w:r w:rsidR="001F2E31">
        <w:rPr>
          <w:lang w:eastAsia="pt-PT"/>
        </w:rPr>
        <w:t>.</w:t>
      </w:r>
    </w:p>
    <w:p w:rsidR="00686A35" w:rsidRPr="00686A35" w:rsidRDefault="00686A35">
      <w:pPr>
        <w:rPr>
          <w:lang w:val="pt-PT"/>
        </w:rPr>
      </w:pPr>
    </w:p>
    <w:sectPr w:rsidR="00686A35" w:rsidRPr="00686A35" w:rsidSect="001F2E31"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86A35"/>
    <w:rsid w:val="00055F24"/>
    <w:rsid w:val="00083C3D"/>
    <w:rsid w:val="00085074"/>
    <w:rsid w:val="0014419F"/>
    <w:rsid w:val="001711A1"/>
    <w:rsid w:val="0019633F"/>
    <w:rsid w:val="001F2E31"/>
    <w:rsid w:val="002205B4"/>
    <w:rsid w:val="00247EEF"/>
    <w:rsid w:val="002C6764"/>
    <w:rsid w:val="00365A39"/>
    <w:rsid w:val="003856BC"/>
    <w:rsid w:val="00392125"/>
    <w:rsid w:val="003959F0"/>
    <w:rsid w:val="00463C23"/>
    <w:rsid w:val="0051379B"/>
    <w:rsid w:val="005C31C3"/>
    <w:rsid w:val="00686A35"/>
    <w:rsid w:val="00686D2F"/>
    <w:rsid w:val="006B61D2"/>
    <w:rsid w:val="006B6E9B"/>
    <w:rsid w:val="006C51B4"/>
    <w:rsid w:val="007256DF"/>
    <w:rsid w:val="0078003B"/>
    <w:rsid w:val="00780A2A"/>
    <w:rsid w:val="007E347E"/>
    <w:rsid w:val="008563B2"/>
    <w:rsid w:val="008E0F24"/>
    <w:rsid w:val="008E6672"/>
    <w:rsid w:val="009114B7"/>
    <w:rsid w:val="0092417E"/>
    <w:rsid w:val="009C0F9C"/>
    <w:rsid w:val="009F4842"/>
    <w:rsid w:val="00AF1C0B"/>
    <w:rsid w:val="00BD4771"/>
    <w:rsid w:val="00C23428"/>
    <w:rsid w:val="00C52B70"/>
    <w:rsid w:val="00C7536F"/>
    <w:rsid w:val="00D0297A"/>
    <w:rsid w:val="00D10DB9"/>
    <w:rsid w:val="00D94354"/>
    <w:rsid w:val="00E03CB6"/>
    <w:rsid w:val="00E04742"/>
    <w:rsid w:val="00E45297"/>
    <w:rsid w:val="00E70914"/>
    <w:rsid w:val="00F2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A1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686A35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686A35"/>
    <w:pPr>
      <w:spacing w:after="0" w:line="240" w:lineRule="auto"/>
    </w:pPr>
  </w:style>
  <w:style w:type="character" w:styleId="Refdenotadefim">
    <w:name w:val="endnote reference"/>
    <w:basedOn w:val="Tipodeletrapredefinidodopargrafo"/>
    <w:rsid w:val="00686A35"/>
    <w:rPr>
      <w:vertAlign w:val="superscri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86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86A35"/>
    <w:rPr>
      <w:rFonts w:ascii="Tahoma" w:hAnsi="Tahoma" w:cs="Tahoma"/>
      <w:sz w:val="16"/>
      <w:szCs w:val="16"/>
      <w:lang w:val="en-GB"/>
    </w:rPr>
  </w:style>
  <w:style w:type="paragraph" w:styleId="Corpodetexto">
    <w:name w:val="Body Text"/>
    <w:link w:val="CorpodetextoCarcter"/>
    <w:uiPriority w:val="99"/>
    <w:unhideWhenUsed/>
    <w:rsid w:val="006C51B4"/>
    <w:pPr>
      <w:spacing w:after="0" w:line="300" w:lineRule="auto"/>
    </w:pPr>
    <w:rPr>
      <w:rFonts w:ascii="Tw Cen MT Condensed" w:eastAsia="Times New Roman" w:hAnsi="Tw Cen MT Condensed" w:cs="Times New Roman"/>
      <w:b/>
      <w:bCs/>
      <w:color w:val="000000"/>
      <w:kern w:val="28"/>
      <w:sz w:val="20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uiPriority w:val="99"/>
    <w:rsid w:val="006C51B4"/>
    <w:rPr>
      <w:rFonts w:ascii="Tw Cen MT Condensed" w:eastAsia="Times New Roman" w:hAnsi="Tw Cen MT Condensed" w:cs="Times New Roman"/>
      <w:b/>
      <w:bCs/>
      <w:color w:val="000000"/>
      <w:kern w:val="28"/>
      <w:sz w:val="20"/>
      <w:szCs w:val="20"/>
      <w:lang w:eastAsia="pt-PT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5C31C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abae.pt/programa/EE/inicio.php" TargetMode="External"/><Relationship Id="rId4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tilizador\1.%20ABAE\2.Eco-Escolas\2.GalardaoEE\2011-12\Estatisticas\Estat%20EE%2010%20Julho%20201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PT"/>
  <c:chart>
    <c:view3D>
      <c:hPercent val="155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12700">
          <a:solidFill>
            <a:srgbClr val="808080"/>
          </a:solidFill>
          <a:prstDash val="solid"/>
        </a:ln>
      </c:spPr>
    </c:sideWall>
    <c:backWall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8.4309133489461355E-2"/>
          <c:y val="2.3102347460208252E-2"/>
          <c:w val="0.87822014051522268"/>
          <c:h val="0.8333346762432261"/>
        </c:manualLayout>
      </c:layout>
      <c:bar3DChart>
        <c:barDir val="bar"/>
        <c:grouping val="clustered"/>
        <c:ser>
          <c:idx val="0"/>
          <c:order val="0"/>
          <c:tx>
            <c:strRef>
              <c:f>Slide1!$N$1</c:f>
              <c:strCache>
                <c:ptCount val="1"/>
                <c:pt idx="0">
                  <c:v>Escolas Inscritas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6.4416947881514915E-3"/>
                  <c:y val="-3.6266531900222337E-3"/>
                </c:manualLayout>
              </c:layout>
              <c:showVal val="1"/>
            </c:dLbl>
            <c:dLbl>
              <c:idx val="1"/>
              <c:layout>
                <c:manualLayout>
                  <c:x val="6.4416947881514915E-3"/>
                  <c:y val="-2.8524954038146081E-3"/>
                </c:manualLayout>
              </c:layout>
              <c:showVal val="1"/>
            </c:dLbl>
            <c:dLbl>
              <c:idx val="2"/>
              <c:layout>
                <c:manualLayout>
                  <c:x val="9.5841708311051391E-3"/>
                  <c:y val="-4.2834318754889501E-4"/>
                </c:manualLayout>
              </c:layout>
              <c:showVal val="1"/>
            </c:dLbl>
            <c:dLbl>
              <c:idx val="3"/>
              <c:layout>
                <c:manualLayout>
                  <c:x val="1.1572037101919643E-2"/>
                  <c:y val="-2.9546939984707592E-3"/>
                </c:manualLayout>
              </c:layout>
              <c:showVal val="1"/>
            </c:dLbl>
            <c:dLbl>
              <c:idx val="4"/>
              <c:layout>
                <c:manualLayout>
                  <c:x val="1.6579566898399952E-2"/>
                  <c:y val="-5.3054178220504297E-4"/>
                </c:manualLayout>
              </c:layout>
              <c:showVal val="1"/>
            </c:dLbl>
            <c:dLbl>
              <c:idx val="5"/>
              <c:layout>
                <c:manualLayout>
                  <c:x val="1.2332147006214374E-2"/>
                  <c:y val="-1.4067249173976752E-3"/>
                </c:manualLayout>
              </c:layout>
              <c:showVal val="1"/>
            </c:dLbl>
            <c:dLbl>
              <c:idx val="6"/>
              <c:layout>
                <c:manualLayout>
                  <c:x val="8.154431515732646E-3"/>
                  <c:y val="-5.5832434040485593E-3"/>
                </c:manualLayout>
              </c:layout>
              <c:showVal val="1"/>
            </c:dLbl>
            <c:dLbl>
              <c:idx val="7"/>
              <c:layout>
                <c:manualLayout>
                  <c:x val="1.4101802848414422E-2"/>
                  <c:y val="-8.1095942149703188E-3"/>
                </c:manualLayout>
              </c:layout>
              <c:showVal val="1"/>
            </c:dLbl>
            <c:dLbl>
              <c:idx val="8"/>
              <c:layout>
                <c:manualLayout>
                  <c:x val="1.0476067540737724E-2"/>
                  <c:y val="-8.9857773501629511E-3"/>
                </c:manualLayout>
              </c:layout>
              <c:showVal val="1"/>
            </c:dLbl>
            <c:dLbl>
              <c:idx val="9"/>
              <c:layout>
                <c:manualLayout>
                  <c:x val="1.3194908013547481E-2"/>
                  <c:y val="-8.2117928096264031E-3"/>
                </c:manualLayout>
              </c:layout>
              <c:showVal val="1"/>
            </c:dLbl>
            <c:dLbl>
              <c:idx val="10"/>
              <c:layout>
                <c:manualLayout>
                  <c:x val="1.1186634457578049E-2"/>
                  <c:y val="-9.0879759448190284E-3"/>
                </c:manualLayout>
              </c:layout>
              <c:showVal val="1"/>
            </c:dLbl>
            <c:dLbl>
              <c:idx val="11"/>
              <c:layout>
                <c:manualLayout>
                  <c:x val="1.124257008857503E-2"/>
                  <c:y val="-8.3139914042824874E-3"/>
                </c:manualLayout>
              </c:layout>
              <c:showVal val="1"/>
            </c:dLbl>
            <c:dLbl>
              <c:idx val="12"/>
              <c:layout>
                <c:manualLayout>
                  <c:x val="2.0096504330401367E-2"/>
                  <c:y val="-9.1901745394751041E-3"/>
                </c:manualLayout>
              </c:layout>
              <c:showVal val="1"/>
            </c:dLbl>
            <c:dLbl>
              <c:idx val="13"/>
              <c:layout>
                <c:manualLayout>
                  <c:x val="1.4015993902401606E-2"/>
                  <c:y val="-8.4161899989385613E-3"/>
                </c:manualLayout>
              </c:layout>
              <c:showVal val="1"/>
            </c:dLbl>
            <c:dLbl>
              <c:idx val="14"/>
              <c:layout>
                <c:manualLayout>
                  <c:x val="2.308711411073618E-3"/>
                  <c:y val="-7.8633473356246285E-3"/>
                </c:manualLayout>
              </c:layout>
              <c:showVal val="1"/>
            </c:dLbl>
            <c:dLbl>
              <c:idx val="15"/>
              <c:layout>
                <c:manualLayout>
                  <c:x val="1.6347956505436828E-3"/>
                  <c:y val="-1.016845180726544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 algn="r">
                  <a:defRPr sz="8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t-PT"/>
              </a:p>
            </c:txPr>
            <c:showVal val="1"/>
          </c:dLbls>
          <c:cat>
            <c:strRef>
              <c:f>Slide1!$M$2:$M$17</c:f>
              <c:strCache>
                <c:ptCount val="16"/>
                <c:pt idx="0">
                  <c:v>1996/97</c:v>
                </c:pt>
                <c:pt idx="1">
                  <c:v>1997/98</c:v>
                </c:pt>
                <c:pt idx="2">
                  <c:v>1998/99</c:v>
                </c:pt>
                <c:pt idx="3">
                  <c:v>1999/00</c:v>
                </c:pt>
                <c:pt idx="4">
                  <c:v>2000/01</c:v>
                </c:pt>
                <c:pt idx="5">
                  <c:v>2001/02</c:v>
                </c:pt>
                <c:pt idx="6">
                  <c:v>2002/03</c:v>
                </c:pt>
                <c:pt idx="7">
                  <c:v>2003/04</c:v>
                </c:pt>
                <c:pt idx="8">
                  <c:v>2004/05</c:v>
                </c:pt>
                <c:pt idx="9">
                  <c:v>2005/06</c:v>
                </c:pt>
                <c:pt idx="10">
                  <c:v>2006/07</c:v>
                </c:pt>
                <c:pt idx="11">
                  <c:v>2007/08</c:v>
                </c:pt>
                <c:pt idx="12">
                  <c:v>2008/09</c:v>
                </c:pt>
                <c:pt idx="13">
                  <c:v>2009/10</c:v>
                </c:pt>
                <c:pt idx="14">
                  <c:v>2010/11</c:v>
                </c:pt>
                <c:pt idx="15">
                  <c:v>2011/12</c:v>
                </c:pt>
              </c:strCache>
            </c:strRef>
          </c:cat>
          <c:val>
            <c:numRef>
              <c:f>Slide1!$N$2:$N$17</c:f>
              <c:numCache>
                <c:formatCode>General</c:formatCode>
                <c:ptCount val="16"/>
                <c:pt idx="0">
                  <c:v>124</c:v>
                </c:pt>
                <c:pt idx="1">
                  <c:v>124</c:v>
                </c:pt>
                <c:pt idx="2">
                  <c:v>116</c:v>
                </c:pt>
                <c:pt idx="3">
                  <c:v>121</c:v>
                </c:pt>
                <c:pt idx="4">
                  <c:v>305</c:v>
                </c:pt>
                <c:pt idx="5">
                  <c:v>365</c:v>
                </c:pt>
                <c:pt idx="6">
                  <c:v>338</c:v>
                </c:pt>
                <c:pt idx="7">
                  <c:v>340</c:v>
                </c:pt>
                <c:pt idx="8">
                  <c:v>464</c:v>
                </c:pt>
                <c:pt idx="9">
                  <c:v>548</c:v>
                </c:pt>
                <c:pt idx="10">
                  <c:v>669</c:v>
                </c:pt>
                <c:pt idx="11">
                  <c:v>784</c:v>
                </c:pt>
                <c:pt idx="12">
                  <c:v>1089</c:v>
                </c:pt>
                <c:pt idx="13">
                  <c:v>1337</c:v>
                </c:pt>
                <c:pt idx="14">
                  <c:v>1515</c:v>
                </c:pt>
                <c:pt idx="15">
                  <c:v>1443</c:v>
                </c:pt>
              </c:numCache>
            </c:numRef>
          </c:val>
        </c:ser>
        <c:ser>
          <c:idx val="1"/>
          <c:order val="1"/>
          <c:tx>
            <c:strRef>
              <c:f>Slide1!$O$1</c:f>
              <c:strCache>
                <c:ptCount val="1"/>
                <c:pt idx="0">
                  <c:v>Escolas Galardoadas</c:v>
                </c:pt>
              </c:strCache>
            </c:strRef>
          </c:tx>
          <c:spPr>
            <a:solidFill>
              <a:srgbClr val="3399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2627560899149889E-2"/>
                  <c:y val="-6.3296560823829506E-3"/>
                </c:manualLayout>
              </c:layout>
              <c:showVal val="1"/>
            </c:dLbl>
            <c:dLbl>
              <c:idx val="1"/>
              <c:layout>
                <c:manualLayout>
                  <c:x val="2.231032596335298E-3"/>
                  <c:y val="-8.8558336476336815E-3"/>
                </c:manualLayout>
              </c:layout>
              <c:showVal val="1"/>
            </c:dLbl>
            <c:dLbl>
              <c:idx val="2"/>
              <c:layout>
                <c:manualLayout>
                  <c:x val="-3.7224855089834831E-4"/>
                  <c:y val="-6.431681431367962E-3"/>
                </c:manualLayout>
              </c:layout>
              <c:showVal val="1"/>
            </c:dLbl>
            <c:dLbl>
              <c:idx val="3"/>
              <c:layout>
                <c:manualLayout>
                  <c:x val="1.2782828375961332E-3"/>
                  <c:y val="-8.9580322422898317E-3"/>
                </c:manualLayout>
              </c:layout>
              <c:showVal val="1"/>
            </c:dLbl>
            <c:dLbl>
              <c:idx val="4"/>
              <c:layout>
                <c:manualLayout>
                  <c:x val="4.5486117514186248E-6"/>
                  <c:y val="-1.3134550728940701E-2"/>
                </c:manualLayout>
              </c:layout>
              <c:showVal val="1"/>
            </c:dLbl>
            <c:dLbl>
              <c:idx val="5"/>
              <c:layout>
                <c:manualLayout>
                  <c:x val="1.1371529378499838E-4"/>
                  <c:y val="-1.2360566188404207E-2"/>
                </c:manualLayout>
              </c:layout>
              <c:showVal val="1"/>
            </c:dLbl>
            <c:dLbl>
              <c:idx val="6"/>
              <c:layout>
                <c:manualLayout>
                  <c:x val="1.5954563056667325E-3"/>
                  <c:y val="-9.9364139721385015E-3"/>
                </c:manualLayout>
              </c:layout>
              <c:showVal val="1"/>
            </c:dLbl>
            <c:dLbl>
              <c:idx val="7"/>
              <c:layout>
                <c:manualLayout>
                  <c:x val="7.3310098532765409E-3"/>
                  <c:y val="-1.4112932458789466E-2"/>
                </c:manualLayout>
              </c:layout>
              <c:showVal val="1"/>
            </c:dLbl>
            <c:dLbl>
              <c:idx val="8"/>
              <c:layout>
                <c:manualLayout>
                  <c:x val="4.8864383755309665E-3"/>
                  <c:y val="-1.6639283269711289E-2"/>
                </c:manualLayout>
              </c:layout>
              <c:showVal val="1"/>
            </c:dLbl>
            <c:dLbl>
              <c:idx val="9"/>
              <c:layout>
                <c:manualLayout>
                  <c:x val="3.133132948545371E-3"/>
                  <c:y val="-1.2564963377716391E-2"/>
                </c:manualLayout>
              </c:layout>
              <c:showVal val="1"/>
            </c:dLbl>
            <c:dLbl>
              <c:idx val="10"/>
              <c:layout>
                <c:manualLayout>
                  <c:x val="3.6190967932287202E-3"/>
                  <c:y val="-1.8391649540096495E-2"/>
                </c:manualLayout>
              </c:layout>
              <c:showVal val="1"/>
            </c:dLbl>
            <c:dLbl>
              <c:idx val="11"/>
              <c:layout>
                <c:manualLayout>
                  <c:x val="7.2538063889554796E-3"/>
                  <c:y val="-1.9267832675289143E-2"/>
                </c:manualLayout>
              </c:layout>
              <c:showVal val="1"/>
            </c:dLbl>
            <c:dLbl>
              <c:idx val="12"/>
              <c:layout>
                <c:manualLayout>
                  <c:x val="8.3843208123574008E-3"/>
                  <c:y val="-2.0143842564810749E-2"/>
                </c:manualLayout>
              </c:layout>
              <c:showVal val="1"/>
            </c:dLbl>
            <c:dLbl>
              <c:idx val="13"/>
              <c:layout>
                <c:manualLayout>
                  <c:x val="9.7696804292905469E-3"/>
                  <c:y val="-1.9369858024274184E-2"/>
                </c:manualLayout>
              </c:layout>
              <c:showVal val="1"/>
            </c:dLbl>
            <c:dLbl>
              <c:idx val="14"/>
              <c:layout>
                <c:manualLayout>
                  <c:x val="5.7469482981294057E-3"/>
                  <c:y val="-1.4308523212889394E-2"/>
                </c:manualLayout>
              </c:layout>
              <c:showVal val="1"/>
            </c:dLbl>
            <c:dLbl>
              <c:idx val="15"/>
              <c:layout>
                <c:manualLayout>
                  <c:x val="0"/>
                  <c:y val="-2.771362586605080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pt-PT"/>
              </a:p>
            </c:txPr>
            <c:showVal val="1"/>
          </c:dLbls>
          <c:cat>
            <c:strRef>
              <c:f>Slide1!$M$2:$M$17</c:f>
              <c:strCache>
                <c:ptCount val="16"/>
                <c:pt idx="0">
                  <c:v>1996/97</c:v>
                </c:pt>
                <c:pt idx="1">
                  <c:v>1997/98</c:v>
                </c:pt>
                <c:pt idx="2">
                  <c:v>1998/99</c:v>
                </c:pt>
                <c:pt idx="3">
                  <c:v>1999/00</c:v>
                </c:pt>
                <c:pt idx="4">
                  <c:v>2000/01</c:v>
                </c:pt>
                <c:pt idx="5">
                  <c:v>2001/02</c:v>
                </c:pt>
                <c:pt idx="6">
                  <c:v>2002/03</c:v>
                </c:pt>
                <c:pt idx="7">
                  <c:v>2003/04</c:v>
                </c:pt>
                <c:pt idx="8">
                  <c:v>2004/05</c:v>
                </c:pt>
                <c:pt idx="9">
                  <c:v>2005/06</c:v>
                </c:pt>
                <c:pt idx="10">
                  <c:v>2006/07</c:v>
                </c:pt>
                <c:pt idx="11">
                  <c:v>2007/08</c:v>
                </c:pt>
                <c:pt idx="12">
                  <c:v>2008/09</c:v>
                </c:pt>
                <c:pt idx="13">
                  <c:v>2009/10</c:v>
                </c:pt>
                <c:pt idx="14">
                  <c:v>2010/11</c:v>
                </c:pt>
                <c:pt idx="15">
                  <c:v>2011/12</c:v>
                </c:pt>
              </c:strCache>
            </c:strRef>
          </c:cat>
          <c:val>
            <c:numRef>
              <c:f>Slide1!$O$2:$O$17</c:f>
              <c:numCache>
                <c:formatCode>General</c:formatCode>
                <c:ptCount val="16"/>
                <c:pt idx="0">
                  <c:v>30</c:v>
                </c:pt>
                <c:pt idx="1">
                  <c:v>71</c:v>
                </c:pt>
                <c:pt idx="2">
                  <c:v>78</c:v>
                </c:pt>
                <c:pt idx="3">
                  <c:v>101</c:v>
                </c:pt>
                <c:pt idx="4">
                  <c:v>162</c:v>
                </c:pt>
                <c:pt idx="5">
                  <c:v>177</c:v>
                </c:pt>
                <c:pt idx="6">
                  <c:v>209</c:v>
                </c:pt>
                <c:pt idx="7">
                  <c:v>257</c:v>
                </c:pt>
                <c:pt idx="8">
                  <c:v>318</c:v>
                </c:pt>
                <c:pt idx="9">
                  <c:v>356</c:v>
                </c:pt>
                <c:pt idx="10">
                  <c:v>455</c:v>
                </c:pt>
                <c:pt idx="11">
                  <c:v>622</c:v>
                </c:pt>
                <c:pt idx="12">
                  <c:v>874</c:v>
                </c:pt>
                <c:pt idx="13">
                  <c:v>1043</c:v>
                </c:pt>
                <c:pt idx="14">
                  <c:v>1209</c:v>
                </c:pt>
                <c:pt idx="15">
                  <c:v>1229</c:v>
                </c:pt>
              </c:numCache>
            </c:numRef>
          </c:val>
        </c:ser>
        <c:ser>
          <c:idx val="2"/>
          <c:order val="2"/>
          <c:tx>
            <c:strRef>
              <c:f>Slide1!$P$1</c:f>
              <c:strCache>
                <c:ptCount val="1"/>
                <c:pt idx="0">
                  <c:v>Municípios Envolvidos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3.6402416911000936E-3"/>
                  <c:y val="-1.3366921831644745E-2"/>
                </c:manualLayout>
              </c:layout>
              <c:showVal val="1"/>
            </c:dLbl>
            <c:dLbl>
              <c:idx val="1"/>
              <c:layout>
                <c:manualLayout>
                  <c:x val="-5.2578263782600979E-3"/>
                  <c:y val="-1.2592937291108153E-2"/>
                </c:manualLayout>
              </c:layout>
              <c:showVal val="1"/>
            </c:dLbl>
            <c:dLbl>
              <c:idx val="2"/>
              <c:layout>
                <c:manualLayout>
                  <c:x val="-5.0890360016473193E-3"/>
                  <c:y val="-1.3469120426300791E-2"/>
                </c:manualLayout>
              </c:layout>
              <c:showVal val="1"/>
            </c:dLbl>
            <c:dLbl>
              <c:idx val="3"/>
              <c:layout>
                <c:manualLayout>
                  <c:x val="5.9697455850805914E-4"/>
                  <c:y val="-1.26951358857643E-2"/>
                </c:manualLayout>
              </c:layout>
              <c:showVal val="1"/>
            </c:dLbl>
            <c:dLbl>
              <c:idx val="4"/>
              <c:layout>
                <c:manualLayout>
                  <c:x val="-5.0992396442247944E-3"/>
                  <c:y val="-1.6871654372415182E-2"/>
                </c:manualLayout>
              </c:layout>
              <c:showVal val="1"/>
            </c:dLbl>
            <c:dLbl>
              <c:idx val="5"/>
              <c:layout>
                <c:manualLayout>
                  <c:x val="-9.5447085507752475E-4"/>
                  <c:y val="-1.4447502156149452E-2"/>
                </c:manualLayout>
              </c:layout>
              <c:showVal val="1"/>
            </c:dLbl>
            <c:dLbl>
              <c:idx val="6"/>
              <c:layout>
                <c:manualLayout>
                  <c:x val="1.4800199155433665E-3"/>
                  <c:y val="-1.2023349939883739E-2"/>
                </c:manualLayout>
              </c:layout>
              <c:showVal val="1"/>
            </c:dLbl>
            <c:dLbl>
              <c:idx val="7"/>
              <c:layout>
                <c:manualLayout>
                  <c:x val="1.2021857923497443E-3"/>
                  <c:y val="-1.4549700750805489E-2"/>
                </c:manualLayout>
              </c:layout>
              <c:showVal val="1"/>
            </c:dLbl>
            <c:dLbl>
              <c:idx val="8"/>
              <c:layout>
                <c:manualLayout>
                  <c:x val="-2.5555821915703202E-3"/>
                  <c:y val="-1.3775716210268957E-2"/>
                </c:manualLayout>
              </c:layout>
              <c:showVal val="1"/>
            </c:dLbl>
            <c:dLbl>
              <c:idx val="9"/>
              <c:layout>
                <c:manualLayout>
                  <c:x val="-6.4369003054945157E-4"/>
                  <c:y val="-1.3001558424061451E-2"/>
                </c:manualLayout>
              </c:layout>
              <c:showVal val="1"/>
            </c:dLbl>
            <c:dLbl>
              <c:idx val="10"/>
              <c:layout>
                <c:manualLayout>
                  <c:x val="-6.10743329214971E-4"/>
                  <c:y val="-1.5527909234983206E-2"/>
                </c:manualLayout>
              </c:layout>
              <c:showVal val="1"/>
            </c:dLbl>
            <c:dLbl>
              <c:idx val="11"/>
              <c:layout>
                <c:manualLayout>
                  <c:x val="6.5291018950500092E-4"/>
                  <c:y val="-1.4753924694446651E-2"/>
                </c:manualLayout>
              </c:layout>
              <c:showVal val="1"/>
            </c:dLbl>
            <c:dLbl>
              <c:idx val="12"/>
              <c:layout>
                <c:manualLayout>
                  <c:x val="5.9328649492585372E-4"/>
                  <c:y val="-1.5630107829639285E-2"/>
                </c:manualLayout>
              </c:layout>
              <c:showVal val="1"/>
            </c:dLbl>
            <c:dLbl>
              <c:idx val="13"/>
              <c:layout>
                <c:manualLayout>
                  <c:x val="1.1654280919803086E-3"/>
                  <c:y val="-1.4856123289102753E-2"/>
                </c:manualLayout>
              </c:layout>
              <c:showVal val="1"/>
            </c:dLbl>
            <c:dLbl>
              <c:idx val="14"/>
              <c:layout>
                <c:manualLayout>
                  <c:x val="1.0893310467339217E-3"/>
                  <c:y val="-1.7382474100024539E-2"/>
                </c:manualLayout>
              </c:layout>
              <c:showVal val="1"/>
            </c:dLbl>
            <c:dLbl>
              <c:idx val="15"/>
              <c:layout>
                <c:manualLayout>
                  <c:x val="6.7588682562220873E-3"/>
                  <c:y val="-1.4958321883758828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FF6600"/>
                    </a:solidFill>
                    <a:latin typeface="Calibri"/>
                    <a:ea typeface="Calibri"/>
                    <a:cs typeface="Calibri"/>
                  </a:defRPr>
                </a:pPr>
                <a:endParaRPr lang="pt-PT"/>
              </a:p>
            </c:txPr>
            <c:showVal val="1"/>
          </c:dLbls>
          <c:cat>
            <c:strRef>
              <c:f>Slide1!$M$2:$M$17</c:f>
              <c:strCache>
                <c:ptCount val="16"/>
                <c:pt idx="0">
                  <c:v>1996/97</c:v>
                </c:pt>
                <c:pt idx="1">
                  <c:v>1997/98</c:v>
                </c:pt>
                <c:pt idx="2">
                  <c:v>1998/99</c:v>
                </c:pt>
                <c:pt idx="3">
                  <c:v>1999/00</c:v>
                </c:pt>
                <c:pt idx="4">
                  <c:v>2000/01</c:v>
                </c:pt>
                <c:pt idx="5">
                  <c:v>2001/02</c:v>
                </c:pt>
                <c:pt idx="6">
                  <c:v>2002/03</c:v>
                </c:pt>
                <c:pt idx="7">
                  <c:v>2003/04</c:v>
                </c:pt>
                <c:pt idx="8">
                  <c:v>2004/05</c:v>
                </c:pt>
                <c:pt idx="9">
                  <c:v>2005/06</c:v>
                </c:pt>
                <c:pt idx="10">
                  <c:v>2006/07</c:v>
                </c:pt>
                <c:pt idx="11">
                  <c:v>2007/08</c:v>
                </c:pt>
                <c:pt idx="12">
                  <c:v>2008/09</c:v>
                </c:pt>
                <c:pt idx="13">
                  <c:v>2009/10</c:v>
                </c:pt>
                <c:pt idx="14">
                  <c:v>2010/11</c:v>
                </c:pt>
                <c:pt idx="15">
                  <c:v>2011/12</c:v>
                </c:pt>
              </c:strCache>
            </c:strRef>
          </c:cat>
          <c:val>
            <c:numRef>
              <c:f>Slide1!$P$2:$P$17</c:f>
              <c:numCache>
                <c:formatCode>General</c:formatCode>
                <c:ptCount val="16"/>
                <c:pt idx="0">
                  <c:v>58</c:v>
                </c:pt>
                <c:pt idx="1">
                  <c:v>61</c:v>
                </c:pt>
                <c:pt idx="2">
                  <c:v>52</c:v>
                </c:pt>
                <c:pt idx="3">
                  <c:v>61</c:v>
                </c:pt>
                <c:pt idx="4">
                  <c:v>115</c:v>
                </c:pt>
                <c:pt idx="5">
                  <c:v>116</c:v>
                </c:pt>
                <c:pt idx="6">
                  <c:v>118</c:v>
                </c:pt>
                <c:pt idx="7">
                  <c:v>112</c:v>
                </c:pt>
                <c:pt idx="8">
                  <c:v>132</c:v>
                </c:pt>
                <c:pt idx="9">
                  <c:v>148</c:v>
                </c:pt>
                <c:pt idx="10">
                  <c:v>174</c:v>
                </c:pt>
                <c:pt idx="11">
                  <c:v>176</c:v>
                </c:pt>
                <c:pt idx="12">
                  <c:v>200</c:v>
                </c:pt>
                <c:pt idx="13">
                  <c:v>225</c:v>
                </c:pt>
                <c:pt idx="14">
                  <c:v>236</c:v>
                </c:pt>
                <c:pt idx="15">
                  <c:v>232</c:v>
                </c:pt>
              </c:numCache>
            </c:numRef>
          </c:val>
        </c:ser>
        <c:dLbls>
          <c:showVal val="1"/>
        </c:dLbls>
        <c:shape val="box"/>
        <c:axId val="190012800"/>
        <c:axId val="190116992"/>
        <c:axId val="0"/>
      </c:bar3DChart>
      <c:catAx>
        <c:axId val="190012800"/>
        <c:scaling>
          <c:orientation val="minMax"/>
        </c:scaling>
        <c:axPos val="l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90116992"/>
        <c:crosses val="autoZero"/>
        <c:auto val="1"/>
        <c:lblAlgn val="ctr"/>
        <c:lblOffset val="100"/>
        <c:tickLblSkip val="1"/>
        <c:tickMarkSkip val="1"/>
      </c:catAx>
      <c:valAx>
        <c:axId val="190116992"/>
        <c:scaling>
          <c:orientation val="minMax"/>
        </c:scaling>
        <c:axPos val="b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pt-PT"/>
          </a:p>
        </c:txPr>
        <c:crossAx val="1900128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384074941452033"/>
          <c:y val="0.47689838275166124"/>
          <c:w val="0.24599095562255094"/>
          <c:h val="0.19006641735123328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pt-PT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pt-PT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997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1</cp:revision>
  <dcterms:created xsi:type="dcterms:W3CDTF">2012-10-04T15:35:00Z</dcterms:created>
  <dcterms:modified xsi:type="dcterms:W3CDTF">2012-10-04T17:35:00Z</dcterms:modified>
</cp:coreProperties>
</file>